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single" w:color="auto" w:sz="4"/>
          <w:insideV w:val="single" w:color="auto" w:sz="4"/>
        </w:tblBorders>
      </w:tblPr>
      <w:tblGrid>
        <w:gridCol w:w="11906"/>
      </w:tblGrid>
      <w:tr>
        <w:trPr>
          <w:trHeight w:val="1600" w:hRule="exact"/>
        </w:trPr>
        <w:tc>
          <w:tcPr>
            <w:tcW w:type="dxa" w:w="11906"/>
            <w:tcBorders>
              <w:top w:val="none" w:color="FFFFFF" w:sz="0"/>
              <w:left w:val="none" w:color="FFFFFF" w:sz="0"/>
              <w:bottom w:val="none" w:color="FFFFFF" w:sz="0"/>
              <w:right w:val="none" w:color="FFFFFF" w:sz="0"/>
            </w:tcBorders>
            <w:shd w:fill="2D2D2D" w:val="clear"/>
          </w:tcPr>
          <w:p>
            <w:pPr>
              <w:spacing w:after="100" w:before="0"/>
              <w:jc w:val="left"/>
            </w:pPr>
            <w:r>
              <w:rPr>
                <w:rFonts w:ascii="Arial" w:cs="Arial" w:eastAsia="Arial" w:hAnsi="Arial"/>
                <w:b w:val="false"/>
                <w:bCs w:val="false"/>
                <w:i w:val="false"/>
                <w:iCs w:val="false"/>
                <w:color w:val="2D2D2D"/>
                <w:sz w:val="20"/>
                <w:szCs w:val="20"/>
              </w:rPr>
              <w:t xml:space="preserve"/>
            </w:r>
          </w:p>
        </w:tc>
      </w:tr>
      <w:tr>
        <w:trPr>
          <w:trHeight w:val="900" w:hRule="atLeast"/>
        </w:trPr>
        <w:tc>
          <w:tcPr>
            <w:tcW w:type="dxa" w:w="11906"/>
            <w:tcBorders>
              <w:top w:val="none" w:color="FFFFFF" w:sz="0"/>
              <w:left w:val="none" w:color="FFFFFF" w:sz="0"/>
              <w:bottom w:val="none" w:color="FFFFFF" w:sz="0"/>
              <w:right w:val="none" w:color="FFFFFF" w:sz="0"/>
            </w:tcBorders>
            <w:shd w:fill="2D2D2D" w:val="clear"/>
            <w:tcMar>
              <w:top w:type="dxa" w:w="0"/>
              <w:left w:type="dxa" w:w="1440"/>
              <w:bottom w:type="dxa" w:w="0"/>
              <w:right w:type="dxa" w:w="1440"/>
            </w:tcMar>
          </w:tcPr>
          <w:p>
            <w:pPr>
              <w:spacing w:after="60" w:before="0"/>
              <w:jc w:val="left"/>
            </w:pPr>
            <w:r>
              <w:rPr>
                <w:rFonts w:ascii="Arial" w:cs="Arial" w:eastAsia="Arial" w:hAnsi="Arial"/>
                <w:b/>
                <w:bCs/>
                <w:i w:val="false"/>
                <w:iCs w:val="false"/>
                <w:color w:val="C8E000"/>
                <w:sz w:val="72"/>
                <w:szCs w:val="72"/>
              </w:rPr>
              <w:t xml:space="preserve">GRITFUEL</w:t>
            </w:r>
          </w:p>
          <w:p>
            <w:pPr>
              <w:spacing w:after="0" w:before="0"/>
              <w:jc w:val="left"/>
            </w:pPr>
            <w:r>
              <w:rPr>
                <w:rFonts w:ascii="Arial" w:cs="Arial" w:eastAsia="Arial" w:hAnsi="Arial"/>
                <w:b w:val="false"/>
                <w:bCs w:val="false"/>
                <w:i/>
                <w:iCs/>
                <w:color w:val="666666"/>
                <w:sz w:val="18"/>
                <w:szCs w:val="18"/>
              </w:rPr>
              <w:t xml:space="preserve">Growth · Execution · Results</w:t>
            </w:r>
          </w:p>
        </w:tc>
      </w:tr>
      <w:tr>
        <w:trPr>
          <w:trHeight w:val="80" w:hRule="exact"/>
        </w:trPr>
        <w:tc>
          <w:tcPr>
            <w:tcW w:type="dxa" w:w="11906"/>
            <w:tcBorders>
              <w:top w:val="none" w:color="FFFFFF" w:sz="0"/>
              <w:left w:val="none" w:color="FFFFFF" w:sz="0"/>
              <w:bottom w:val="none" w:color="FFFFFF" w:sz="0"/>
              <w:right w:val="none" w:color="FFFFFF" w:sz="0"/>
            </w:tcBorders>
            <w:shd w:fill="C8E000" w:val="clear"/>
          </w:tcPr>
          <w:p>
            <w:pPr>
              <w:spacing w:after="0" w:before="0"/>
              <w:jc w:val="left"/>
            </w:pPr>
            <w:r>
              <w:rPr>
                <w:rFonts w:ascii="Arial" w:cs="Arial" w:eastAsia="Arial" w:hAnsi="Arial"/>
                <w:b w:val="false"/>
                <w:bCs w:val="false"/>
                <w:i w:val="false"/>
                <w:iCs w:val="false"/>
                <w:color w:val="2D2D2D"/>
                <w:sz w:val="20"/>
                <w:szCs w:val="20"/>
              </w:rPr>
              <w:t xml:space="preserve"/>
            </w:r>
          </w:p>
        </w:tc>
      </w:tr>
      <w:tr>
        <w:trPr>
          <w:trHeight w:val="900" w:hRule="exact"/>
        </w:trPr>
        <w:tc>
          <w:tcPr>
            <w:tcW w:type="dxa" w:w="11906"/>
            <w:tcBorders>
              <w:top w:val="none" w:color="FFFFFF" w:sz="0"/>
              <w:left w:val="none" w:color="FFFFFF" w:sz="0"/>
              <w:bottom w:val="none" w:color="FFFFFF" w:sz="0"/>
              <w:right w:val="none" w:color="FFFFFF" w:sz="0"/>
            </w:tcBorders>
            <w:shd w:fill="2D2D2D" w:val="clear"/>
          </w:tcPr>
          <w:p>
            <w:pPr>
              <w:spacing w:after="100" w:before="0"/>
              <w:jc w:val="left"/>
            </w:pPr>
            <w:r>
              <w:rPr>
                <w:rFonts w:ascii="Arial" w:cs="Arial" w:eastAsia="Arial" w:hAnsi="Arial"/>
                <w:b w:val="false"/>
                <w:bCs w:val="false"/>
                <w:i w:val="false"/>
                <w:iCs w:val="false"/>
                <w:color w:val="2D2D2D"/>
                <w:sz w:val="20"/>
                <w:szCs w:val="20"/>
              </w:rPr>
              <w:t xml:space="preserve"/>
            </w:r>
          </w:p>
        </w:tc>
      </w:tr>
      <w:tr>
        <w:trPr>
          <w:trHeight w:val="2000" w:hRule="atLeast"/>
        </w:trPr>
        <w:tc>
          <w:tcPr>
            <w:tcW w:type="dxa" w:w="11906"/>
            <w:tcBorders>
              <w:top w:val="none" w:color="FFFFFF" w:sz="0"/>
              <w:left w:val="none" w:color="FFFFFF" w:sz="0"/>
              <w:bottom w:val="none" w:color="FFFFFF" w:sz="0"/>
              <w:right w:val="none" w:color="FFFFFF" w:sz="0"/>
            </w:tcBorders>
            <w:shd w:fill="2D2D2D" w:val="clear"/>
            <w:tcMar>
              <w:top w:type="dxa" w:w="0"/>
              <w:left w:type="dxa" w:w="1440"/>
              <w:bottom w:type="dxa" w:w="0"/>
              <w:right w:type="dxa" w:w="1440"/>
            </w:tcMar>
          </w:tcPr>
          <w:p>
            <w:pPr>
              <w:spacing w:after="0" w:before="0"/>
              <w:jc w:val="left"/>
            </w:pPr>
            <w:r>
              <w:rPr>
                <w:rFonts w:ascii="Arial" w:cs="Arial" w:eastAsia="Arial" w:hAnsi="Arial"/>
                <w:b/>
                <w:bCs/>
                <w:i w:val="false"/>
                <w:iCs w:val="false"/>
                <w:color w:val="FFFFFF"/>
                <w:sz w:val="76"/>
                <w:szCs w:val="76"/>
              </w:rPr>
              <w:t xml:space="preserve">MONTHLY</w:t>
            </w:r>
          </w:p>
          <w:p>
            <w:pPr>
              <w:spacing w:after="0" w:before="0"/>
              <w:jc w:val="left"/>
            </w:pPr>
            <w:r>
              <w:rPr>
                <w:rFonts w:ascii="Arial" w:cs="Arial" w:eastAsia="Arial" w:hAnsi="Arial"/>
                <w:b/>
                <w:bCs/>
                <w:i w:val="false"/>
                <w:iCs w:val="false"/>
                <w:color w:val="FFFFFF"/>
                <w:sz w:val="76"/>
                <w:szCs w:val="76"/>
              </w:rPr>
              <w:t xml:space="preserve">GROWTH PLAYBOOK</w:t>
            </w:r>
          </w:p>
        </w:tc>
      </w:tr>
      <w:tr>
        <w:trPr>
          <w:trHeight w:val="1600" w:hRule="atLeast"/>
        </w:trPr>
        <w:tc>
          <w:tcPr>
            <w:tcW w:type="dxa" w:w="11906"/>
            <w:tcBorders>
              <w:top w:val="none" w:color="FFFFFF" w:sz="0"/>
              <w:left w:val="none" w:color="FFFFFF" w:sz="0"/>
              <w:bottom w:val="none" w:color="FFFFFF" w:sz="0"/>
              <w:right w:val="none" w:color="FFFFFF" w:sz="0"/>
            </w:tcBorders>
            <w:shd w:fill="2D2D2D" w:val="clear"/>
            <w:tcMar>
              <w:top w:type="dxa" w:w="0"/>
              <w:left w:type="dxa" w:w="1440"/>
              <w:bottom w:type="dxa" w:w="0"/>
              <w:right w:type="dxa" w:w="1440"/>
            </w:tcMar>
          </w:tcPr>
          <w:p>
            <w:pPr>
              <w:spacing w:after="50" w:before="0"/>
              <w:jc w:val="left"/>
            </w:pPr>
            <w:r>
              <w:rPr>
                <w:rFonts w:ascii="Arial" w:cs="Arial" w:eastAsia="Arial" w:hAnsi="Arial"/>
                <w:b/>
                <w:bCs/>
                <w:i w:val="false"/>
                <w:iCs w:val="false"/>
                <w:color w:val="777777"/>
                <w:sz w:val="16"/>
                <w:szCs w:val="16"/>
              </w:rPr>
              <w:t xml:space="preserve">CLIENT</w:t>
            </w:r>
          </w:p>
          <w:p>
            <w:pPr>
              <w:spacing w:after="80" w:before="0"/>
              <w:jc w:val="left"/>
            </w:pPr>
            <w:r>
              <w:rPr>
                <w:rFonts w:ascii="Arial" w:cs="Arial" w:eastAsia="Arial" w:hAnsi="Arial"/>
                <w:b/>
                <w:bCs/>
                <w:i w:val="false"/>
                <w:iCs w:val="false"/>
                <w:color w:val="FFFFFF"/>
                <w:sz w:val="44"/>
                <w:szCs w:val="44"/>
              </w:rPr>
              <w:t xml:space="preserve">Helio</w:t>
            </w:r>
          </w:p>
          <w:p>
            <w:pPr>
              <w:spacing w:after="0" w:before="0"/>
              <w:jc w:val="left"/>
            </w:pPr>
            <w:r>
              <w:rPr>
                <w:rFonts w:ascii="Arial" w:cs="Arial" w:eastAsia="Arial" w:hAnsi="Arial"/>
                <w:b w:val="false"/>
                <w:bCs w:val="false"/>
                <w:i w:val="false"/>
                <w:iCs w:val="false"/>
                <w:color w:val="888888"/>
                <w:sz w:val="18"/>
                <w:szCs w:val="18"/>
              </w:rPr>
              <w:t xml:space="preserve">MAY 2026  ·  MONTH 3 OF ENGAGEMENT</w:t>
            </w:r>
          </w:p>
        </w:tc>
      </w:tr>
      <w:tr>
        <w:trPr>
          <w:trHeight w:val="900" w:hRule="atLeast"/>
        </w:trPr>
        <w:tc>
          <w:tcPr>
            <w:tcW w:type="dxa" w:w="11906"/>
            <w:tcBorders>
              <w:top w:val="none" w:color="FFFFFF" w:sz="0"/>
              <w:left w:val="none" w:color="FFFFFF" w:sz="0"/>
              <w:bottom w:val="none" w:color="FFFFFF" w:sz="0"/>
              <w:right w:val="none" w:color="FFFFFF" w:sz="0"/>
            </w:tcBorders>
            <w:shd w:fill="1A1A1A" w:val="clear"/>
            <w:tcMar>
              <w:top w:type="dxa" w:w="100"/>
              <w:left w:type="dxa" w:w="1440"/>
              <w:bottom w:type="dxa" w:w="100"/>
              <w:right w:type="dxa" w:w="1440"/>
            </w:tcMar>
            <w:vAlign w:val="center"/>
          </w:tcPr>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8"/>
              <w:gridCol w:w="3010"/>
              <w:gridCol w:w="3008"/>
            </w:tblGrid>
            <w:tr>
              <w:trPr>
                <w:tblHeader w:val="false"/>
                <w:trHeight w:val="700" w:hRule="atLeast"/>
              </w:trPr>
              <w:tc>
                <w:tcPr>
                  <w:tcW w:type="dxa" w:w="3008"/>
                  <w:tcBorders>
                    <w:top w:val="none" w:color="FFFFFF" w:sz="0"/>
                    <w:left w:val="none" w:color="FFFFFF" w:sz="0"/>
                    <w:bottom w:val="none" w:color="FFFFFF" w:sz="0"/>
                    <w:right w:val="none" w:color="FFFFFF" w:sz="0"/>
                  </w:tcBorders>
                  <w:shd w:fill="C8E000"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2D2D2D"/>
                      <w:sz w:val="17"/>
                      <w:szCs w:val="17"/>
                    </w:rPr>
                    <w:t xml:space="preserve">GROWTH TIER</w:t>
                  </w:r>
                </w:p>
                <w:p>
                  <w:pPr>
                    <w:spacing w:after="0" w:before="0"/>
                    <w:jc w:val="center"/>
                  </w:pPr>
                  <w:r>
                    <w:rPr>
                      <w:rFonts w:ascii="Arial" w:cs="Arial" w:eastAsia="Arial" w:hAnsi="Arial"/>
                      <w:b w:val="false"/>
                      <w:bCs w:val="false"/>
                      <w:i w:val="false"/>
                      <w:iCs w:val="false"/>
                      <w:color w:val="444444"/>
                      <w:sz w:val="16"/>
                      <w:szCs w:val="16"/>
                    </w:rPr>
                    <w:t xml:space="preserve">125 Credits / Month</w:t>
                  </w:r>
                </w:p>
              </w:tc>
              <w:tc>
                <w:tcPr>
                  <w:tcW w:type="dxa" w:w="3010"/>
                  <w:tcBorders>
                    <w:top w:val="none" w:color="FFFFFF" w:sz="0"/>
                    <w:left w:val="none" w:color="FFFFFF" w:sz="0"/>
                    <w:bottom w:val="none" w:color="FFFFFF" w:sz="0"/>
                    <w:right w:val="none" w:color="FFFFFF" w:sz="0"/>
                  </w:tcBorders>
                  <w:shd w:fill="1E1E1E"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7"/>
                      <w:szCs w:val="17"/>
                    </w:rPr>
                    <w:t xml:space="preserve">LEAD STRATEGIST</w:t>
                  </w:r>
                </w:p>
                <w:p>
                  <w:pPr>
                    <w:spacing w:after="0" w:before="0"/>
                    <w:jc w:val="center"/>
                  </w:pPr>
                  <w:r>
                    <w:rPr>
                      <w:rFonts w:ascii="Arial" w:cs="Arial" w:eastAsia="Arial" w:hAnsi="Arial"/>
                      <w:b w:val="false"/>
                      <w:bCs w:val="false"/>
                      <w:i w:val="false"/>
                      <w:iCs w:val="false"/>
                      <w:color w:val="999999"/>
                      <w:sz w:val="16"/>
                      <w:szCs w:val="16"/>
                    </w:rPr>
                    <w:t xml:space="preserve">Kim van der Berg</w:t>
                  </w:r>
                </w:p>
              </w:tc>
              <w:tc>
                <w:tcPr>
                  <w:tcW w:type="dxa" w:w="3008"/>
                  <w:tcBorders>
                    <w:top w:val="none" w:color="FFFFFF" w:sz="0"/>
                    <w:left w:val="none" w:color="FFFFFF" w:sz="0"/>
                    <w:bottom w:val="none" w:color="FFFFFF" w:sz="0"/>
                    <w:right w:val="none" w:color="FFFFFF" w:sz="0"/>
                  </w:tcBorders>
                  <w:shd w:fill="1E1E1E" w:val="clear"/>
                  <w:tcMar>
                    <w:top w:type="dxa" w:w="100"/>
                    <w:left w:type="dxa" w:w="140"/>
                    <w:bottom w:type="dxa" w:w="100"/>
                    <w:right w:type="dxa" w:w="140"/>
                  </w:tcMar>
                  <w:vAlign w:val="center"/>
                </w:tcPr>
                <w:p>
                  <w:pPr>
                    <w:spacing w:after="40" w:before="0"/>
                    <w:jc w:val="center"/>
                  </w:pPr>
                  <w:r>
                    <w:rPr>
                      <w:rFonts w:ascii="Arial" w:cs="Arial" w:eastAsia="Arial" w:hAnsi="Arial"/>
                      <w:b/>
                      <w:bCs/>
                      <w:i w:val="false"/>
                      <w:iCs w:val="false"/>
                      <w:color w:val="FFFFFF"/>
                      <w:sz w:val="17"/>
                      <w:szCs w:val="17"/>
                    </w:rPr>
                    <w:t xml:space="preserve">NEXT REVIEW</w:t>
                  </w:r>
                </w:p>
                <w:p>
                  <w:pPr>
                    <w:spacing w:after="0" w:before="0"/>
                    <w:jc w:val="center"/>
                  </w:pPr>
                  <w:r>
                    <w:rPr>
                      <w:rFonts w:ascii="Arial" w:cs="Arial" w:eastAsia="Arial" w:hAnsi="Arial"/>
                      <w:b w:val="false"/>
                      <w:bCs w:val="false"/>
                      <w:i w:val="false"/>
                      <w:iCs w:val="false"/>
                      <w:color w:val="999999"/>
                      <w:sz w:val="16"/>
                      <w:szCs w:val="16"/>
                    </w:rPr>
                    <w:t xml:space="preserve">1 June 2026</w:t>
                  </w:r>
                </w:p>
              </w:tc>
            </w:tr>
          </w:tbl>
          <w:p/>
        </w:tc>
      </w:tr>
      <w:tr>
        <w:trPr>
          <w:trHeight w:val="2400" w:hRule="exact"/>
        </w:trPr>
        <w:tc>
          <w:tcPr>
            <w:tcW w:type="dxa" w:w="11906"/>
            <w:tcBorders>
              <w:top w:val="none" w:color="FFFFFF" w:sz="0"/>
              <w:left w:val="none" w:color="FFFFFF" w:sz="0"/>
              <w:bottom w:val="none" w:color="FFFFFF" w:sz="0"/>
              <w:right w:val="none" w:color="FFFFFF" w:sz="0"/>
            </w:tcBorders>
            <w:shd w:fill="2D2D2D" w:val="clear"/>
            <w:tcMar>
              <w:top w:type="dxa" w:w="0"/>
              <w:left w:type="dxa" w:w="1440"/>
              <w:bottom w:type="dxa" w:w="0"/>
              <w:right w:type="dxa" w:w="1440"/>
            </w:tcMar>
            <w:vAlign w:val="bottom"/>
          </w:tcPr>
          <w:p>
            <w:pPr>
              <w:spacing w:after="200" w:before="0"/>
              <w:jc w:val="left"/>
            </w:pPr>
            <w:r>
              <w:rPr>
                <w:rFonts w:ascii="Arial" w:cs="Arial" w:eastAsia="Arial" w:hAnsi="Arial"/>
                <w:b w:val="false"/>
                <w:bCs w:val="false"/>
                <w:i/>
                <w:iCs/>
                <w:color w:val="555555"/>
                <w:sz w:val="16"/>
                <w:szCs w:val="16"/>
              </w:rPr>
              <w:t xml:space="preserve">Prepared by GritFuel  ·  gritfuel.works  ·  Confidential</w:t>
            </w:r>
          </w:p>
        </w:tc>
      </w:tr>
    </w:tbl>
    <w:p>
      <w:pPr>
        <w:sectPr>
          <w:pgSz w:w="11906" w:h="16838" w:orient="portrait"/>
          <w:pgMar w:top="0" w:right="0" w:bottom="0" w:left="0" w:header="708" w:footer="708" w:gutter="0"/>
          <w:pgNumType/>
          <w:docGrid w:linePitch="360"/>
        </w:sectPr>
      </w:pP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MONTH AT A GLANCE</w:t>
            </w:r>
          </w:p>
          <w:p>
            <w:pPr>
              <w:spacing w:after="0" w:before="0"/>
              <w:jc w:val="left"/>
            </w:pPr>
            <w:r>
              <w:rPr>
                <w:rFonts w:ascii="Arial" w:cs="Arial" w:eastAsia="Arial" w:hAnsi="Arial"/>
                <w:b w:val="false"/>
                <w:bCs w:val="false"/>
                <w:i/>
                <w:iCs/>
                <w:color w:val="AAAAAA"/>
                <w:sz w:val="17"/>
                <w:szCs w:val="17"/>
              </w:rPr>
              <w:t xml:space="preserve">May 2026  ·  Helio  ·  Growth Tier — 125 credits / month</w:t>
            </w:r>
          </w:p>
        </w:tc>
      </w:tr>
    </w:tbl>
    <w:p>
      <w:pPr>
        <w:spacing w:after="200" w:before="0"/>
        <w:jc w:val="left"/>
      </w:pPr>
      <w:r>
        <w:rPr>
          <w:rFonts w:ascii="Arial" w:cs="Arial" w:eastAsia="Arial" w:hAnsi="Arial"/>
          <w:b w:val="false"/>
          <w:bCs w:val="false"/>
          <w:i w:val="false"/>
          <w:iCs w:val="false"/>
          <w:color w:val="2D2D2D"/>
          <w:sz w:val="20"/>
          <w:szCs w:val="20"/>
        </w:rPr>
        <w:t xml:space="preserve"/>
      </w:r>
    </w:p>
    <w:p>
      <w:pPr>
        <w:spacing w:after="200" w:before="0"/>
        <w:jc w:val="left"/>
      </w:pPr>
      <w:r>
        <w:rPr>
          <w:rFonts w:ascii="Arial" w:cs="Arial" w:eastAsia="Arial" w:hAnsi="Arial"/>
          <w:b w:val="false"/>
          <w:bCs w:val="false"/>
          <w:i w:val="false"/>
          <w:iCs w:val="false"/>
          <w:color w:val="2D2D2D"/>
          <w:sz w:val="20"/>
          <w:szCs w:val="20"/>
        </w:rPr>
        <w:t xml:space="preserve">Month 3 of your GritFuel engagement. Discovery, ICP definition, and positioning are locked. This month we shift into full execution mode across three parallel tracks: messaging refresh, content velocity, and demand generation. All credits are committed.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val="false"/>
          <w:trHeight w:val="820" w:hRule="atLeast"/>
        </w:trPr>
        <w:tc>
          <w:tcPr>
            <w:tcW w:type="dxa" w:w="22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0"/>
              <w:jc w:val="center"/>
            </w:pPr>
            <w:r>
              <w:rPr>
                <w:rFonts w:ascii="Arial" w:cs="Arial" w:eastAsia="Arial" w:hAnsi="Arial"/>
                <w:b/>
                <w:bCs/>
                <w:i w:val="false"/>
                <w:iCs w:val="false"/>
                <w:color w:val="777777"/>
                <w:sz w:val="16"/>
                <w:szCs w:val="16"/>
              </w:rPr>
              <w:t xml:space="preserve">THIS MONTH'S FOCUS</w:t>
            </w:r>
          </w:p>
          <w:p>
            <w:pPr>
              <w:spacing w:after="30" w:before="0"/>
              <w:jc w:val="center"/>
            </w:pPr>
            <w:r>
              <w:rPr>
                <w:rFonts w:ascii="Arial" w:cs="Arial" w:eastAsia="Arial" w:hAnsi="Arial"/>
                <w:b/>
                <w:bCs/>
                <w:i w:val="false"/>
                <w:iCs w:val="false"/>
                <w:color w:val="2D2D2D"/>
                <w:sz w:val="32"/>
                <w:szCs w:val="32"/>
              </w:rPr>
              <w:t xml:space="preserve">Execution</w:t>
            </w:r>
          </w:p>
          <w:p>
            <w:pPr>
              <w:spacing w:after="0" w:before="0"/>
              <w:jc w:val="center"/>
            </w:pPr>
            <w:r>
              <w:rPr>
                <w:rFonts w:ascii="Arial" w:cs="Arial" w:eastAsia="Arial" w:hAnsi="Arial"/>
                <w:b w:val="false"/>
                <w:bCs w:val="false"/>
                <w:i w:val="false"/>
                <w:iCs w:val="false"/>
                <w:color w:val="777777"/>
                <w:sz w:val="16"/>
                <w:szCs w:val="16"/>
              </w:rPr>
              <w:t xml:space="preserve">Brand · Content · Demand</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0"/>
              <w:jc w:val="center"/>
            </w:pPr>
            <w:r>
              <w:rPr>
                <w:rFonts w:ascii="Arial" w:cs="Arial" w:eastAsia="Arial" w:hAnsi="Arial"/>
                <w:b/>
                <w:bCs/>
                <w:i w:val="false"/>
                <w:iCs w:val="false"/>
                <w:color w:val="777777"/>
                <w:sz w:val="16"/>
                <w:szCs w:val="16"/>
              </w:rPr>
              <w:t xml:space="preserve">CREDITS ALLOCATED</w:t>
            </w:r>
          </w:p>
          <w:p>
            <w:pPr>
              <w:spacing w:after="30" w:before="0"/>
              <w:jc w:val="center"/>
            </w:pPr>
            <w:r>
              <w:rPr>
                <w:rFonts w:ascii="Arial" w:cs="Arial" w:eastAsia="Arial" w:hAnsi="Arial"/>
                <w:b/>
                <w:bCs/>
                <w:i w:val="false"/>
                <w:iCs w:val="false"/>
                <w:color w:val="2D2D2D"/>
                <w:sz w:val="32"/>
                <w:szCs w:val="32"/>
              </w:rPr>
              <w:t xml:space="preserve">118 / 125</w:t>
            </w:r>
          </w:p>
          <w:p>
            <w:pPr>
              <w:spacing w:after="0" w:before="0"/>
              <w:jc w:val="center"/>
            </w:pPr>
            <w:r>
              <w:rPr>
                <w:rFonts w:ascii="Arial" w:cs="Arial" w:eastAsia="Arial" w:hAnsi="Arial"/>
                <w:b w:val="false"/>
                <w:bCs w:val="false"/>
                <w:i w:val="false"/>
                <w:iCs w:val="false"/>
                <w:color w:val="777777"/>
                <w:sz w:val="16"/>
                <w:szCs w:val="16"/>
              </w:rPr>
              <w:t xml:space="preserve">committed this month</w:t>
            </w:r>
          </w:p>
        </w:tc>
        <w:tc>
          <w:tcPr>
            <w:tcW w:type="dxa" w:w="225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0"/>
              <w:jc w:val="center"/>
            </w:pPr>
            <w:r>
              <w:rPr>
                <w:rFonts w:ascii="Arial" w:cs="Arial" w:eastAsia="Arial" w:hAnsi="Arial"/>
                <w:b/>
                <w:bCs/>
                <w:i w:val="false"/>
                <w:iCs w:val="false"/>
                <w:color w:val="777777"/>
                <w:sz w:val="16"/>
                <w:szCs w:val="16"/>
              </w:rPr>
              <w:t xml:space="preserve">INITIATIVES ACTIVE</w:t>
            </w:r>
          </w:p>
          <w:p>
            <w:pPr>
              <w:spacing w:after="30" w:before="0"/>
              <w:jc w:val="center"/>
            </w:pPr>
            <w:r>
              <w:rPr>
                <w:rFonts w:ascii="Arial" w:cs="Arial" w:eastAsia="Arial" w:hAnsi="Arial"/>
                <w:b/>
                <w:bCs/>
                <w:i w:val="false"/>
                <w:iCs w:val="false"/>
                <w:color w:val="2D2D2D"/>
                <w:sz w:val="32"/>
                <w:szCs w:val="32"/>
              </w:rPr>
              <w:t xml:space="preserve">3</w:t>
            </w:r>
          </w:p>
          <w:p>
            <w:pPr>
              <w:spacing w:after="0" w:before="0"/>
              <w:jc w:val="center"/>
            </w:pPr>
            <w:r>
              <w:rPr>
                <w:rFonts w:ascii="Arial" w:cs="Arial" w:eastAsia="Arial" w:hAnsi="Arial"/>
                <w:b w:val="false"/>
                <w:bCs w:val="false"/>
                <w:i w:val="false"/>
                <w:iCs w:val="false"/>
                <w:color w:val="777777"/>
                <w:sz w:val="16"/>
                <w:szCs w:val="16"/>
              </w:rPr>
              <w:t xml:space="preserve">running in parallel</w:t>
            </w:r>
          </w:p>
        </w:tc>
        <w:tc>
          <w:tcPr>
            <w:tcW w:type="dxa" w:w="2257"/>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0"/>
              <w:jc w:val="center"/>
            </w:pPr>
            <w:r>
              <w:rPr>
                <w:rFonts w:ascii="Arial" w:cs="Arial" w:eastAsia="Arial" w:hAnsi="Arial"/>
                <w:b/>
                <w:bCs/>
                <w:i w:val="false"/>
                <w:iCs w:val="false"/>
                <w:color w:val="777777"/>
                <w:sz w:val="16"/>
                <w:szCs w:val="16"/>
              </w:rPr>
              <w:t xml:space="preserve">CREDIT ROLLOVER</w:t>
            </w:r>
          </w:p>
          <w:p>
            <w:pPr>
              <w:spacing w:after="30" w:before="0"/>
              <w:jc w:val="center"/>
            </w:pPr>
            <w:r>
              <w:rPr>
                <w:rFonts w:ascii="Arial" w:cs="Arial" w:eastAsia="Arial" w:hAnsi="Arial"/>
                <w:b/>
                <w:bCs/>
                <w:i w:val="false"/>
                <w:iCs w:val="false"/>
                <w:color w:val="2D2D2D"/>
                <w:sz w:val="32"/>
                <w:szCs w:val="32"/>
              </w:rPr>
              <w:t xml:space="preserve">7</w:t>
            </w:r>
          </w:p>
          <w:p>
            <w:pPr>
              <w:spacing w:after="0" w:before="0"/>
              <w:jc w:val="center"/>
            </w:pPr>
            <w:r>
              <w:rPr>
                <w:rFonts w:ascii="Arial" w:cs="Arial" w:eastAsia="Arial" w:hAnsi="Arial"/>
                <w:b w:val="false"/>
                <w:bCs w:val="false"/>
                <w:i w:val="false"/>
                <w:iCs w:val="false"/>
                <w:color w:val="777777"/>
                <w:sz w:val="16"/>
                <w:szCs w:val="16"/>
              </w:rPr>
              <w:t xml:space="preserve">carry forward to June</w:t>
            </w:r>
          </w:p>
        </w:tc>
      </w:tr>
    </w:tbl>
    <w:p>
      <w:pPr>
        <w:spacing w:after="220" w:before="0"/>
        <w:jc w:val="left"/>
      </w:pPr>
      <w:r>
        <w:rPr>
          <w:rFonts w:ascii="Arial" w:cs="Arial" w:eastAsia="Arial" w:hAnsi="Arial"/>
          <w:b w:val="false"/>
          <w:bCs w:val="false"/>
          <w:i w:val="false"/>
          <w:iCs w:val="false"/>
          <w:color w:val="2D2D2D"/>
          <w:sz w:val="20"/>
          <w:szCs w:val="20"/>
        </w:rPr>
        <w:t xml:space="preserve"/>
      </w:r>
    </w:p>
    <w:p>
      <w:pPr>
        <w:pBdr>
          <w:bottom w:val="single" w:color="C8E000" w:sz="8" w:space="4"/>
        </w:pBdr>
        <w:spacing w:after="80" w:before="80"/>
        <w:jc w:val="left"/>
      </w:pPr>
      <w:r>
        <w:rPr>
          <w:rFonts w:ascii="Arial" w:cs="Arial" w:eastAsia="Arial" w:hAnsi="Arial"/>
          <w:b w:val="false"/>
          <w:bCs w:val="false"/>
          <w:i w:val="false"/>
          <w:iCs w:val="false"/>
          <w:color w:val="2D2D2D"/>
          <w:sz w:val="20"/>
          <w:szCs w:val="20"/>
        </w:rPr>
        <w:t xml:space="preserve"/>
      </w:r>
    </w:p>
    <w:p>
      <w:pPr>
        <w:spacing w:after="1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CREDIT ALLOCATION — MAY 2026</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3426"/>
        <w:gridCol w:w="1000"/>
      </w:tblGrid>
      <w:tr>
        <w:trPr>
          <w:tblHeader/>
        </w:trPr>
        <w:tc>
          <w:tcPr>
            <w:tcW w:type="dxa" w:w="46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Initiative</w:t>
            </w:r>
          </w:p>
        </w:tc>
        <w:tc>
          <w:tcPr>
            <w:tcW w:type="dxa" w:w="34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Deliverables Included</w:t>
            </w:r>
          </w:p>
        </w:tc>
        <w:tc>
          <w:tcPr>
            <w:tcW w:type="dxa" w:w="1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Credits</w:t>
            </w:r>
          </w:p>
        </w:tc>
      </w:tr>
      <w:tr>
        <w:trPr>
          <w:tblHeader w:val="false"/>
        </w:trPr>
        <w:tc>
          <w:tcPr>
            <w:tcW w:type="dxa" w:w="4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2D2D2D"/>
                <w:sz w:val="19"/>
                <w:szCs w:val="19"/>
              </w:rPr>
              <w:t xml:space="preserve">01  ·  Brand &amp; Messaging Refresh</w:t>
            </w:r>
          </w:p>
        </w:tc>
        <w:tc>
          <w:tcPr>
            <w:tcW w:type="dxa" w:w="34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Positioning doc, messaging house, 3 web page rewrites</w:t>
            </w:r>
          </w:p>
        </w:tc>
        <w:tc>
          <w:tcPr>
            <w:tcW w:type="dxa" w:w="1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24"/>
                <w:szCs w:val="24"/>
              </w:rPr>
              <w:t xml:space="preserve">42</w:t>
            </w:r>
          </w:p>
        </w:tc>
      </w:tr>
      <w:tr>
        <w:trPr>
          <w:tblHeader w:val="false"/>
        </w:trPr>
        <w:tc>
          <w:tcPr>
            <w:tcW w:type="dxa" w:w="4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2D2D2D"/>
                <w:sz w:val="19"/>
                <w:szCs w:val="19"/>
              </w:rPr>
              <w:t xml:space="preserve">02  ·  SEO Content Engine</w:t>
            </w:r>
          </w:p>
        </w:tc>
        <w:tc>
          <w:tcPr>
            <w:tcW w:type="dxa" w:w="34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4 pillar articles, keyword map, internal linking plan</w:t>
            </w:r>
          </w:p>
        </w:tc>
        <w:tc>
          <w:tcPr>
            <w:tcW w:type="dxa" w:w="1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24"/>
                <w:szCs w:val="24"/>
              </w:rPr>
              <w:t xml:space="preserve">48</w:t>
            </w:r>
          </w:p>
        </w:tc>
      </w:tr>
      <w:tr>
        <w:trPr>
          <w:tblHeader w:val="false"/>
        </w:trPr>
        <w:tc>
          <w:tcPr>
            <w:tcW w:type="dxa" w:w="4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2D2D2D"/>
                <w:sz w:val="19"/>
                <w:szCs w:val="19"/>
              </w:rPr>
              <w:t xml:space="preserve">03  ·  LinkedIn Demand Generation</w:t>
            </w:r>
          </w:p>
        </w:tc>
        <w:tc>
          <w:tcPr>
            <w:tcW w:type="dxa" w:w="34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Campaign brief, 3 ad sets, copy + creative direction</w:t>
            </w:r>
          </w:p>
        </w:tc>
        <w:tc>
          <w:tcPr>
            <w:tcW w:type="dxa" w:w="1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24"/>
                <w:szCs w:val="24"/>
              </w:rPr>
              <w:t xml:space="preserve">28</w:t>
            </w:r>
          </w:p>
        </w:tc>
      </w:tr>
      <w:tr>
        <w:trPr>
          <w:tblHeader w:val="false"/>
        </w:trPr>
        <w:tc>
          <w:tcPr>
            <w:tcW w:type="dxa" w:w="46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777777"/>
                <w:sz w:val="18"/>
                <w:szCs w:val="18"/>
              </w:rPr>
              <w:t xml:space="preserve">Rollover to June</w:t>
            </w:r>
          </w:p>
        </w:tc>
        <w:tc>
          <w:tcPr>
            <w:tcW w:type="dxa" w:w="34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777777"/>
                <w:sz w:val="18"/>
                <w:szCs w:val="18"/>
              </w:rPr>
              <w:t xml:space="preserve">Available for ad-hoc requests</w:t>
            </w:r>
          </w:p>
        </w:tc>
        <w:tc>
          <w:tcPr>
            <w:tcW w:type="dxa" w:w="1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24"/>
                <w:szCs w:val="24"/>
              </w:rPr>
              <w:t xml:space="preserve">7</w:t>
            </w:r>
          </w:p>
        </w:tc>
      </w:tr>
      <w:tr>
        <w:trPr>
          <w:tblHeader w:val="false"/>
        </w:trPr>
        <w:tc>
          <w:tcPr>
            <w:tcW w:type="dxa" w:w="46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TOTAL</w:t>
            </w:r>
          </w:p>
        </w:tc>
        <w:tc>
          <w:tcPr>
            <w:tcW w:type="dxa" w:w="34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val="false"/>
                <w:bCs w:val="false"/>
                <w:i w:val="false"/>
                <w:iCs w:val="false"/>
                <w:color w:val="2D2D2D"/>
                <w:sz w:val="20"/>
                <w:szCs w:val="20"/>
              </w:rPr>
              <w:t xml:space="preserve"/>
            </w:r>
          </w:p>
        </w:tc>
        <w:tc>
          <w:tcPr>
            <w:tcW w:type="dxa" w:w="1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C8E000"/>
                <w:sz w:val="26"/>
                <w:szCs w:val="26"/>
              </w:rPr>
              <w:t xml:space="preserve">125</w:t>
            </w:r>
          </w:p>
        </w:tc>
      </w:tr>
    </w:tbl>
    <w:p>
      <w:pPr>
        <w:spacing w:after="2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PERFORMANCE SNAPSHOT — APRIL 2026 (Month 2 actuals)</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400"/>
        <w:gridCol w:w="1300"/>
        <w:gridCol w:w="1826"/>
      </w:tblGrid>
      <w:tr>
        <w:trPr>
          <w:tblHeader/>
        </w:trPr>
        <w:tc>
          <w:tcPr>
            <w:tcW w:type="dxa" w:w="3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Metric</w:t>
            </w:r>
          </w:p>
        </w:tc>
        <w:tc>
          <w:tcPr>
            <w:tcW w:type="dxa" w:w="15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Apr Actual</w:t>
            </w:r>
          </w:p>
        </w:tc>
        <w:tc>
          <w:tcPr>
            <w:tcW w:type="dxa" w:w="14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Benchmark</w:t>
            </w:r>
          </w:p>
        </w:tc>
        <w:tc>
          <w:tcPr>
            <w:tcW w:type="dxa" w:w="13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vs. Target</w:t>
            </w:r>
          </w:p>
        </w:tc>
        <w:tc>
          <w:tcPr>
            <w:tcW w:type="dxa" w:w="18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Trend</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Website sessions</w:t>
            </w:r>
          </w:p>
        </w:tc>
        <w:tc>
          <w:tcPr>
            <w:tcW w:type="dxa" w:w="1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3,240</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3,000</w:t>
            </w:r>
          </w:p>
        </w:tc>
        <w:tc>
          <w:tcPr>
            <w:tcW w:type="dxa" w:w="13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+8%</w:t>
            </w:r>
          </w:p>
        </w:tc>
        <w:tc>
          <w:tcPr>
            <w:tcW w:type="dxa" w:w="18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E7D32"/>
                <w:sz w:val="18"/>
                <w:szCs w:val="18"/>
              </w:rPr>
              <w:t xml:space="preserve">↑ Growing</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Organic traffic share</w:t>
            </w:r>
          </w:p>
        </w:tc>
        <w:tc>
          <w:tcPr>
            <w:tcW w:type="dxa" w:w="1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41%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35%</w:t>
            </w:r>
          </w:p>
        </w:tc>
        <w:tc>
          <w:tcPr>
            <w:tcW w:type="dxa" w:w="13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+6pp</w:t>
            </w:r>
          </w:p>
        </w:tc>
        <w:tc>
          <w:tcPr>
            <w:tcW w:type="dxa" w:w="18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E7D32"/>
                <w:sz w:val="18"/>
                <w:szCs w:val="18"/>
              </w:rPr>
              <w:t xml:space="preserve">↑ Growing</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LinkedIn page followers</w:t>
            </w:r>
          </w:p>
        </w:tc>
        <w:tc>
          <w:tcPr>
            <w:tcW w:type="dxa" w:w="1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1,180</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1,000</w:t>
            </w:r>
          </w:p>
        </w:tc>
        <w:tc>
          <w:tcPr>
            <w:tcW w:type="dxa" w:w="13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+18%</w:t>
            </w:r>
          </w:p>
        </w:tc>
        <w:tc>
          <w:tcPr>
            <w:tcW w:type="dxa" w:w="18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E7D32"/>
                <w:sz w:val="18"/>
                <w:szCs w:val="18"/>
              </w:rPr>
              <w:t xml:space="preserve">↑ Ahead of target</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Email open rate</w:t>
            </w:r>
          </w:p>
        </w:tc>
        <w:tc>
          <w:tcPr>
            <w:tcW w:type="dxa" w:w="1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34.2%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28%</w:t>
            </w:r>
          </w:p>
        </w:tc>
        <w:tc>
          <w:tcPr>
            <w:tcW w:type="dxa" w:w="13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+6.2pp</w:t>
            </w:r>
          </w:p>
        </w:tc>
        <w:tc>
          <w:tcPr>
            <w:tcW w:type="dxa" w:w="18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E7D32"/>
                <w:sz w:val="18"/>
                <w:szCs w:val="18"/>
              </w:rPr>
              <w:t xml:space="preserve">↑ Above benchmark</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Demo requests (inbound)</w:t>
            </w:r>
          </w:p>
        </w:tc>
        <w:tc>
          <w:tcPr>
            <w:tcW w:type="dxa" w:w="1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7</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5</w:t>
            </w:r>
          </w:p>
        </w:tc>
        <w:tc>
          <w:tcPr>
            <w:tcW w:type="dxa" w:w="13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+40%</w:t>
            </w:r>
          </w:p>
        </w:tc>
        <w:tc>
          <w:tcPr>
            <w:tcW w:type="dxa" w:w="18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E7D32"/>
                <w:sz w:val="18"/>
                <w:szCs w:val="18"/>
              </w:rPr>
              <w:t xml:space="preserve">↑ Above target</w:t>
            </w:r>
          </w:p>
        </w:tc>
      </w:tr>
    </w:tbl>
    <w:p>
      <w:pPr>
        <w:spacing w:after="120" w:before="0"/>
        <w:jc w:val="left"/>
      </w:pPr>
      <w:r>
        <w:rPr>
          <w:rFonts w:ascii="Arial" w:cs="Arial" w:eastAsia="Arial" w:hAnsi="Arial"/>
          <w:b w:val="false"/>
          <w:bCs w:val="false"/>
          <w:i w:val="false"/>
          <w:iCs w:val="false"/>
          <w:color w:val="2D2D2D"/>
          <w:sz w:val="20"/>
          <w:szCs w:val="20"/>
        </w:rPr>
        <w:t xml:space="preserve"/>
      </w:r>
    </w:p>
    <w:p>
      <w:pPr>
        <w:spacing w:after="0" w:before="0"/>
        <w:jc w:val="left"/>
      </w:pPr>
      <w:r>
        <w:rPr>
          <w:rFonts w:ascii="Arial" w:cs="Arial" w:eastAsia="Arial" w:hAnsi="Arial"/>
          <w:b w:val="false"/>
          <w:bCs w:val="false"/>
          <w:i/>
          <w:iCs/>
          <w:color w:val="777777"/>
          <w:sz w:val="16"/>
          <w:szCs w:val="16"/>
        </w:rPr>
        <w:t xml:space="preserve">Note: All metrics are trailing 30-day figures. Demo requests via HubSpot form submissions only.</w:t>
      </w:r>
    </w:p>
    <w:p>
      <w:pPr>
        <w:spacing w:after="100" w:before="0"/>
        <w:jc w:val="left"/>
      </w:pPr>
      <w:r>
        <w:br w:type="pag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HOW REVIEWS WORK</w:t>
            </w:r>
          </w:p>
          <w:p>
            <w:pPr>
              <w:spacing w:after="0" w:before="0"/>
              <w:jc w:val="left"/>
            </w:pPr>
            <w:r>
              <w:rPr>
                <w:rFonts w:ascii="Arial" w:cs="Arial" w:eastAsia="Arial" w:hAnsi="Arial"/>
                <w:b w:val="false"/>
                <w:bCs w:val="false"/>
                <w:i/>
                <w:iCs/>
                <w:color w:val="AAAAAA"/>
                <w:sz w:val="17"/>
                <w:szCs w:val="17"/>
              </w:rPr>
              <w:t xml:space="preserve">Your GritFuel engagement model — async-first, one live anchor per month</w:t>
            </w:r>
          </w:p>
        </w:tc>
      </w:tr>
    </w:tbl>
    <w:p>
      <w:pPr>
        <w:spacing w:after="200" w:before="0"/>
        <w:jc w:val="left"/>
      </w:pPr>
      <w:r>
        <w:rPr>
          <w:rFonts w:ascii="Arial" w:cs="Arial" w:eastAsia="Arial" w:hAnsi="Arial"/>
          <w:b w:val="false"/>
          <w:bCs w:val="false"/>
          <w:i w:val="false"/>
          <w:iCs w:val="false"/>
          <w:color w:val="2D2D2D"/>
          <w:sz w:val="20"/>
          <w:szCs w:val="20"/>
        </w:rPr>
        <w:t xml:space="preserve"/>
      </w:r>
    </w:p>
    <w:p>
      <w:pPr>
        <w:spacing w:after="200" w:before="0"/>
        <w:jc w:val="left"/>
      </w:pPr>
      <w:r>
        <w:rPr>
          <w:rFonts w:ascii="Arial" w:cs="Arial" w:eastAsia="Arial" w:hAnsi="Arial"/>
          <w:b w:val="false"/>
          <w:bCs w:val="false"/>
          <w:i w:val="false"/>
          <w:iCs w:val="false"/>
          <w:color w:val="2D2D2D"/>
          <w:sz w:val="20"/>
          <w:szCs w:val="20"/>
        </w:rPr>
        <w:t xml:space="preserve">GritFuel operates on an async-first review model. This keeps delivery moving, protects your timeline, and means you never need to book a call to unblock a piece of work. Every deliverable comes with a structured review brief and a clear feedback window.</w:t>
      </w:r>
    </w:p>
    <w:tbl>
      <w:tblPr>
        <w:tblW w:type="dxa" w:w="9026"/>
        <w:tblBorders>
          <w:top w:val="none"/>
          <w:left w:val="none"/>
          <w:bottom w:val="none"/>
          <w:right w:val="none"/>
          <w:insideH w:val="single" w:color="auto" w:sz="4"/>
          <w:insideV w:val="single" w:color="auto" w:sz="4"/>
        </w:tblBorders>
      </w:tblPr>
      <w:tblGrid>
        <w:gridCol w:w="4500"/>
        <w:gridCol w:w="4526"/>
      </w:tblGrid>
      <w:tr>
        <w:trPr>
          <w:tblHeader w:val="false"/>
        </w:trPr>
        <w:tc>
          <w:tcPr>
            <w:tcW w:type="dxa" w:w="4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D2D2D"/>
                <w:sz w:val="18"/>
                <w:szCs w:val="18"/>
              </w:rPr>
              <w:t xml:space="preserve">HOW EACH DELIVERABLE IS REVIEWED</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Delivered to shared workspace</w:t>
            </w:r>
            <w:r>
              <w:rPr>
                <w:rFonts w:ascii="Arial" w:cs="Arial" w:eastAsia="Arial" w:hAnsi="Arial"/>
                <w:b w:val="false"/>
                <w:bCs w:val="false"/>
                <w:i w:val="false"/>
                <w:iCs w:val="false"/>
                <w:color w:val="2D2D2D"/>
                <w:sz w:val="18"/>
                <w:szCs w:val="18"/>
              </w:rPr>
              <w:t xml:space="preserve">  —  Google Drive or Notion. You receive a notification with a direct link.</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Review brief included</w:t>
            </w:r>
            <w:r>
              <w:rPr>
                <w:rFonts w:ascii="Arial" w:cs="Arial" w:eastAsia="Arial" w:hAnsi="Arial"/>
                <w:b w:val="false"/>
                <w:bCs w:val="false"/>
                <w:i w:val="false"/>
                <w:iCs w:val="false"/>
                <w:color w:val="2D2D2D"/>
                <w:sz w:val="18"/>
                <w:szCs w:val="18"/>
              </w:rPr>
              <w:t xml:space="preserve">  —  Each deliverable comes with a short note: what to focus on, what decision to make, what feedback format works best.</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Feedback via comments</w:t>
            </w:r>
            <w:r>
              <w:rPr>
                <w:rFonts w:ascii="Arial" w:cs="Arial" w:eastAsia="Arial" w:hAnsi="Arial"/>
                <w:b w:val="false"/>
                <w:bCs w:val="false"/>
                <w:i w:val="false"/>
                <w:iCs w:val="false"/>
                <w:color w:val="2D2D2D"/>
                <w:sz w:val="18"/>
                <w:szCs w:val="18"/>
              </w:rPr>
              <w:t xml:space="preserve">  —  Leave comments directly in the doc. One consolidated feedback round keeps things clean.</w:t>
            </w:r>
          </w:p>
          <w:p>
            <w:pPr>
              <w:pStyle w:val="ListParagraph"/>
              <w:numPr>
                <w:ilvl w:val="0"/>
                <w:numId w:val="2"/>
              </w:numPr>
              <w:spacing w:after="0" w:before="0"/>
              <w:jc w:val="left"/>
            </w:pPr>
            <w:r>
              <w:rPr>
                <w:rFonts w:ascii="Arial" w:cs="Arial" w:eastAsia="Arial" w:hAnsi="Arial"/>
                <w:b/>
                <w:bCs/>
                <w:i w:val="false"/>
                <w:iCs w:val="false"/>
                <w:color w:val="2D2D2D"/>
                <w:sz w:val="19"/>
                <w:szCs w:val="19"/>
              </w:rPr>
              <w:t xml:space="preserve">72-hour window</w:t>
            </w:r>
            <w:r>
              <w:rPr>
                <w:rFonts w:ascii="Arial" w:cs="Arial" w:eastAsia="Arial" w:hAnsi="Arial"/>
                <w:b w:val="false"/>
                <w:bCs w:val="false"/>
                <w:i w:val="false"/>
                <w:iCs w:val="false"/>
                <w:color w:val="2D2D2D"/>
                <w:sz w:val="18"/>
                <w:szCs w:val="18"/>
              </w:rPr>
              <w:t xml:space="preserve">  —  Standard review period. If feedback isn't received, GritFuel will follow up and the revision round carries to the following month.</w:t>
            </w:r>
          </w:p>
        </w:tc>
        <w:tc>
          <w:tcPr>
            <w:tcW w:type="dxa" w:w="4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D2D2D"/>
                <w:sz w:val="18"/>
                <w:szCs w:val="18"/>
              </w:rPr>
              <w:t xml:space="preserve">LIVE SESSIONS</w:t>
            </w:r>
          </w:p>
          <w:p>
            <w:pPr>
              <w:pStyle w:val="ListParagraph"/>
              <w:numPr>
                <w:ilvl w:val="0"/>
                <w:numId w:val="2"/>
              </w:numPr>
              <w:spacing w:after="60" w:before="0"/>
              <w:jc w:val="left"/>
            </w:pPr>
            <w:r>
              <w:rPr>
                <w:rFonts w:ascii="Arial" w:cs="Arial" w:eastAsia="Arial" w:hAnsi="Arial"/>
                <w:b/>
                <w:bCs/>
                <w:i w:val="false"/>
                <w:iCs w:val="false"/>
                <w:color w:val="2D2D2D"/>
                <w:sz w:val="19"/>
                <w:szCs w:val="19"/>
              </w:rPr>
              <w:t xml:space="preserve">Monthly playbook review  (30 min)</w:t>
            </w:r>
          </w:p>
          <w:p>
            <w:pPr>
              <w:spacing w:after="80" w:before="0"/>
              <w:ind w:left="400"/>
              <w:jc w:val="left"/>
            </w:pPr>
            <w:r>
              <w:rPr>
                <w:rFonts w:ascii="Arial" w:cs="Arial" w:eastAsia="Arial" w:hAnsi="Arial"/>
                <w:b w:val="false"/>
                <w:bCs w:val="false"/>
                <w:i/>
                <w:iCs/>
                <w:color w:val="777777"/>
                <w:sz w:val="18"/>
                <w:szCs w:val="18"/>
              </w:rPr>
              <w:t xml:space="preserve">Included in all tiers. We walk through last month's outcomes, agree this month's priorities, and flag any strategic shifts.</w:t>
            </w:r>
          </w:p>
          <w:p>
            <w:pPr>
              <w:pStyle w:val="ListParagraph"/>
              <w:numPr>
                <w:ilvl w:val="0"/>
                <w:numId w:val="2"/>
              </w:numPr>
              <w:spacing w:after="60" w:before="0"/>
              <w:jc w:val="left"/>
            </w:pPr>
            <w:r>
              <w:rPr>
                <w:rFonts w:ascii="Arial" w:cs="Arial" w:eastAsia="Arial" w:hAnsi="Arial"/>
                <w:b/>
                <w:bCs/>
                <w:i w:val="false"/>
                <w:iCs w:val="false"/>
                <w:color w:val="2D2D2D"/>
                <w:sz w:val="19"/>
                <w:szCs w:val="19"/>
              </w:rPr>
              <w:t xml:space="preserve">Strategy sessions  (as needed)</w:t>
            </w:r>
          </w:p>
          <w:p>
            <w:pPr>
              <w:spacing w:after="0" w:before="0"/>
              <w:ind w:left="400"/>
              <w:jc w:val="left"/>
            </w:pPr>
            <w:r>
              <w:rPr>
                <w:rFonts w:ascii="Arial" w:cs="Arial" w:eastAsia="Arial" w:hAnsi="Arial"/>
                <w:b w:val="false"/>
                <w:bCs w:val="false"/>
                <w:i/>
                <w:iCs/>
                <w:color w:val="777777"/>
                <w:sz w:val="18"/>
                <w:szCs w:val="18"/>
              </w:rPr>
              <w:t xml:space="preserve">Available as à la carte items when scope requires a live working session — e.g. GTM workshop, positioning sprint.</w:t>
            </w:r>
          </w:p>
        </w:tc>
      </w:tr>
    </w:tbl>
    <w:p>
      <w:pPr>
        <w:spacing w:after="20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REVISION ROUNDS</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What's included</w:t>
            </w:r>
          </w:p>
        </w:tc>
        <w:tc>
          <w:tcPr>
            <w:tcW w:type="dxa" w:w="60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How it works</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 revision round</w:t>
            </w:r>
          </w:p>
        </w:tc>
        <w:tc>
          <w:tcPr>
            <w:tcW w:type="dxa" w:w="60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Standard for all deliverables. You review, consolidate your feedback into one pass, and GritFuel revises. This is already included in the credit allocation for each initiative.</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Additional rounds</w:t>
            </w:r>
          </w:p>
        </w:tc>
        <w:tc>
          <w:tcPr>
            <w:tcW w:type="dxa" w:w="60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Each additional revision round uses credits from your monthly allocation or rollover. Rounds are scoped and agreed upfront — you will always know the credit cost before we proceed.</w:t>
            </w:r>
          </w:p>
        </w:tc>
      </w:tr>
      <w:tr>
        <w:trPr>
          <w:tblHeader w:val="false"/>
        </w:trPr>
        <w:tc>
          <w:tcPr>
            <w:tcW w:type="dxa" w:w="3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Dependencies</w:t>
            </w:r>
          </w:p>
        </w:tc>
        <w:tc>
          <w:tcPr>
            <w:tcW w:type="dxa" w:w="60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Some deliverables are sequential — a later piece cannot begin until an earlier one is approved. These are flagged with a ⚑ symbol in your initiative tables. Timely feedback on flagged items keeps the whole month on track.</w:t>
            </w:r>
          </w:p>
        </w:tc>
      </w:tr>
    </w:tbl>
    <w:p>
      <w:pPr>
        <w:spacing w:after="100" w:before="0"/>
        <w:jc w:val="left"/>
      </w:pPr>
      <w:r>
        <w:br w:type="pag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INITIATIVE 01  ·  Brand &amp; Messaging Refresh</w:t>
            </w:r>
          </w:p>
          <w:p>
            <w:pPr>
              <w:spacing w:after="0" w:before="0"/>
              <w:jc w:val="left"/>
            </w:pPr>
            <w:r>
              <w:rPr>
                <w:rFonts w:ascii="Arial" w:cs="Arial" w:eastAsia="Arial" w:hAnsi="Arial"/>
                <w:b w:val="false"/>
                <w:bCs w:val="false"/>
                <w:i/>
                <w:iCs/>
                <w:color w:val="AAAAAA"/>
                <w:sz w:val="17"/>
                <w:szCs w:val="17"/>
              </w:rPr>
              <w:t xml:space="preserve">42 credits  ·  Weeks 1–3, May 2026</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Objective</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Sharpen Helio's positioning for the enterprise IT buyer segment identified in Month 2 discovery. Rewrite core messaging and update homepage and key product pages to reflect the new ICP and competitive differentiation.</w:t>
            </w:r>
          </w:p>
        </w:tc>
      </w:tr>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Approach</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Positioning workshop output first, then a messaging hierarchy (category, company, product level). GritFuel rewrites homepage hero, product overview, and pricing page copy. A copy-to-live handoff pack is included.</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Deliverables This Month</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100"/>
        <w:gridCol w:w="1526"/>
        <w:gridCol w:w="1200"/>
      </w:tblGrid>
      <w:tr>
        <w:trPr>
          <w:tblHeader/>
        </w:trPr>
        <w:tc>
          <w:tcPr>
            <w:tcW w:type="dxa" w:w="5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Deliverable</w:t>
            </w:r>
          </w:p>
        </w:tc>
        <w:tc>
          <w:tcPr>
            <w:tcW w:type="dxa" w:w="11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Week</w:t>
            </w:r>
          </w:p>
        </w:tc>
        <w:tc>
          <w:tcPr>
            <w:tcW w:type="dxa" w:w="1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Review window</w:t>
            </w:r>
          </w:p>
        </w:tc>
        <w:tc>
          <w:tcPr>
            <w:tcW w:type="dxa" w:w="1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Status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Positioning &amp; ICP Narrative Document</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1</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7"/>
                <w:szCs w:val="17"/>
              </w:rPr>
              <w:t xml:space="preserve">In Progress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Messaging House (3-level hierarchy)</w:t>
            </w:r>
          </w:p>
          <w:p>
            <w:pPr>
              <w:spacing w:after="0" w:before="0"/>
              <w:jc w:val="left"/>
            </w:pPr>
            <w:r>
              <w:rPr>
                <w:rFonts w:ascii="Arial" w:cs="Arial" w:eastAsia="Arial" w:hAnsi="Arial"/>
                <w:b w:val="false"/>
                <w:bCs w:val="false"/>
                <w:i/>
                <w:iCs/>
                <w:color w:val="F57F17"/>
                <w:sz w:val="16"/>
                <w:szCs w:val="16"/>
              </w:rPr>
              <w:t xml:space="preserve">⚑ Depends on: Positioning doc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2</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Homepage Rewrite (hero + value props)</w:t>
            </w:r>
          </w:p>
          <w:p>
            <w:pPr>
              <w:spacing w:after="0" w:before="0"/>
              <w:jc w:val="left"/>
            </w:pPr>
            <w:r>
              <w:rPr>
                <w:rFonts w:ascii="Arial" w:cs="Arial" w:eastAsia="Arial" w:hAnsi="Arial"/>
                <w:b w:val="false"/>
                <w:bCs w:val="false"/>
                <w:i/>
                <w:iCs/>
                <w:color w:val="F57F17"/>
                <w:sz w:val="16"/>
                <w:szCs w:val="16"/>
              </w:rPr>
              <w:t xml:space="preserve">⚑ Depends on: Messaging house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2</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Product Page Rewrite (2 pages)</w:t>
            </w:r>
          </w:p>
          <w:p>
            <w:pPr>
              <w:spacing w:after="0" w:before="0"/>
              <w:jc w:val="left"/>
            </w:pPr>
            <w:r>
              <w:rPr>
                <w:rFonts w:ascii="Arial" w:cs="Arial" w:eastAsia="Arial" w:hAnsi="Arial"/>
                <w:b w:val="false"/>
                <w:bCs w:val="false"/>
                <w:i/>
                <w:iCs/>
                <w:color w:val="F57F17"/>
                <w:sz w:val="16"/>
                <w:szCs w:val="16"/>
              </w:rPr>
              <w:t xml:space="preserve">⚑ Depends on: Messaging house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3</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Pricing Page Rewrite</w:t>
            </w:r>
          </w:p>
          <w:p>
            <w:pPr>
              <w:spacing w:after="0" w:before="0"/>
              <w:jc w:val="left"/>
            </w:pPr>
            <w:r>
              <w:rPr>
                <w:rFonts w:ascii="Arial" w:cs="Arial" w:eastAsia="Arial" w:hAnsi="Arial"/>
                <w:b w:val="false"/>
                <w:bCs w:val="false"/>
                <w:i/>
                <w:iCs/>
                <w:color w:val="F57F17"/>
                <w:sz w:val="16"/>
                <w:szCs w:val="16"/>
              </w:rPr>
              <w:t xml:space="preserve">⚑ Depends on: Messaging house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3</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bl>
    <w:p>
      <w:pPr>
        <w:spacing w:after="1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500" w:hRule="atLeast"/>
        </w:trPr>
        <w:tc>
          <w:tcPr>
            <w:tcW w:type="dxa" w:w="9026"/>
            <w:tcBorders>
              <w:top w:val="none" w:color="FFFFFF" w:sz="0"/>
              <w:left w:val="none" w:color="FFFFFF" w:sz="0"/>
              <w:bottom w:val="none" w:color="FFFFFF" w:sz="0"/>
              <w:right w:val="none" w:color="FFFFFF" w:sz="0"/>
            </w:tcBorders>
            <w:shd w:fill="FFF8E1" w:val="clear"/>
            <w:tcMar>
              <w:top w:type="dxa" w:w="100"/>
              <w:left w:type="dxa" w:w="140"/>
              <w:bottom w:type="dxa" w:w="100"/>
              <w:right w:type="dxa" w:w="140"/>
            </w:tcMar>
            <w:vAlign w:val="center"/>
          </w:tcPr>
          <w:p>
            <w:pPr>
              <w:spacing w:after="60" w:before="0"/>
              <w:jc w:val="left"/>
            </w:pPr>
            <w:r>
              <w:rPr>
                <w:rFonts w:ascii="Arial" w:cs="Arial" w:eastAsia="Arial" w:hAnsi="Arial"/>
                <w:b/>
                <w:bCs/>
                <w:i w:val="false"/>
                <w:iCs w:val="false"/>
                <w:color w:val="F57F17"/>
                <w:sz w:val="17"/>
                <w:szCs w:val="17"/>
              </w:rPr>
              <w:t xml:space="preserve">CLIENT ACTION REQUIRED</w:t>
            </w:r>
          </w:p>
          <w:p>
            <w:pPr>
              <w:spacing w:after="0" w:before="0"/>
              <w:jc w:val="left"/>
            </w:pPr>
            <w:r>
              <w:rPr>
                <w:rFonts w:ascii="Arial" w:cs="Arial" w:eastAsia="Arial" w:hAnsi="Arial"/>
                <w:b w:val="false"/>
                <w:bCs w:val="false"/>
                <w:i w:val="false"/>
                <w:iCs w:val="false"/>
                <w:color w:val="2D2D2D"/>
                <w:sz w:val="19"/>
                <w:szCs w:val="19"/>
              </w:rPr>
              <w:t xml:space="preserve">The positioning document (Week 1) is a hard dependency for all copy work this month. Please review and provide consolidated feedback within 72 hours of delivery to keep the initiative on schedule.</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Success Metrics</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KPI</w:t>
            </w:r>
          </w:p>
        </w:tc>
        <w:tc>
          <w:tcPr>
            <w:tcW w:type="dxa" w:w="2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Target</w:t>
            </w:r>
          </w:p>
        </w:tc>
        <w:tc>
          <w:tcPr>
            <w:tcW w:type="dxa" w:w="3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How We Measure</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Messaging clarity (internal review)</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4.5 / 5</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Structured review vs. ICP brief</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Homepage bounce rate</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&lt; 58%</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Google Analytics — 30d post-launch</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Demo conversion (homepage)</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&gt; 2.5%</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HubSpot form submissions / sessions</w:t>
            </w:r>
          </w:p>
        </w:tc>
      </w:tr>
    </w:tbl>
    <w:p>
      <w:pPr>
        <w:spacing w:after="100" w:before="0"/>
        <w:jc w:val="left"/>
      </w:pPr>
      <w:r>
        <w:br w:type="pag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INITIATIVE 02  ·  SEO Content Engine Launch</w:t>
            </w:r>
          </w:p>
          <w:p>
            <w:pPr>
              <w:spacing w:after="0" w:before="0"/>
              <w:jc w:val="left"/>
            </w:pPr>
            <w:r>
              <w:rPr>
                <w:rFonts w:ascii="Arial" w:cs="Arial" w:eastAsia="Arial" w:hAnsi="Arial"/>
                <w:b w:val="false"/>
                <w:bCs w:val="false"/>
                <w:i/>
                <w:iCs/>
                <w:color w:val="AAAAAA"/>
                <w:sz w:val="17"/>
                <w:szCs w:val="17"/>
              </w:rPr>
              <w:t xml:space="preserve">48 credits  ·  Weeks 1–4, May 2026</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Objective</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Establish Helio's content engine with four high-intent pillar articles targeting decision-stage enterprise buyers. Build the keyword infrastructure and internal linking plan that will compound over 6–12 months.</w:t>
            </w:r>
          </w:p>
        </w:tc>
      </w:tr>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Approach</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Keyword cluster mapping from current ranking data and competitor gap analysis. Four pillar articles drafted, optimised, and published. Internal linking plan connects pillars to relevant product pages.</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Deliverables This Month</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100"/>
        <w:gridCol w:w="1526"/>
        <w:gridCol w:w="1200"/>
      </w:tblGrid>
      <w:tr>
        <w:trPr>
          <w:tblHeader/>
        </w:trPr>
        <w:tc>
          <w:tcPr>
            <w:tcW w:type="dxa" w:w="5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Deliverable</w:t>
            </w:r>
          </w:p>
        </w:tc>
        <w:tc>
          <w:tcPr>
            <w:tcW w:type="dxa" w:w="11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Week</w:t>
            </w:r>
          </w:p>
        </w:tc>
        <w:tc>
          <w:tcPr>
            <w:tcW w:type="dxa" w:w="1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Review window</w:t>
            </w:r>
          </w:p>
        </w:tc>
        <w:tc>
          <w:tcPr>
            <w:tcW w:type="dxa" w:w="1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Status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Keyword Cluster Map (8 target clusters)</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1</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200"/>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7"/>
                <w:szCs w:val="17"/>
              </w:rPr>
              <w:t xml:space="preserve">In Progress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Pillar #1 — "IT Monitoring for Scale"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1</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7"/>
                <w:szCs w:val="17"/>
              </w:rPr>
              <w:t xml:space="preserve">In Progress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Pillar #2 — "Reducing Alert Fatigue"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2</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Pillar #3 — "SRE vs. DevOps Tools"</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3</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Pillar #4 — "Enterprise Observability"</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4</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Internal Linking Plan</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4</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Success Metrics</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KPI</w:t>
            </w:r>
          </w:p>
        </w:tc>
        <w:tc>
          <w:tcPr>
            <w:tcW w:type="dxa" w:w="2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Target</w:t>
            </w:r>
          </w:p>
        </w:tc>
        <w:tc>
          <w:tcPr>
            <w:tcW w:type="dxa" w:w="3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How We Measure</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Organic impressions (GSC)</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+15% MoM by July</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Google Search Console</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Keyword rankings (target terms)</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8 in top 20 by June</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Ahrefs rank tracking</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Blog sessions per article</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&gt;250 in first 30 days</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Google Analytics</w:t>
            </w:r>
          </w:p>
        </w:tc>
      </w:tr>
    </w:tbl>
    <w:p>
      <w:pPr>
        <w:spacing w:after="100" w:before="0"/>
        <w:jc w:val="left"/>
      </w:pPr>
      <w:r>
        <w:br w:type="pag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INITIATIVE 03  ·  LinkedIn Demand Generation</w:t>
            </w:r>
          </w:p>
          <w:p>
            <w:pPr>
              <w:spacing w:after="0" w:before="0"/>
              <w:jc w:val="left"/>
            </w:pPr>
            <w:r>
              <w:rPr>
                <w:rFonts w:ascii="Arial" w:cs="Arial" w:eastAsia="Arial" w:hAnsi="Arial"/>
                <w:b w:val="false"/>
                <w:bCs w:val="false"/>
                <w:i/>
                <w:iCs/>
                <w:color w:val="AAAAAA"/>
                <w:sz w:val="17"/>
                <w:szCs w:val="17"/>
              </w:rPr>
              <w:t xml:space="preserve">28 credits  ·  Weeks 2–4 May (live June)</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Objective</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Design and brief a 6-week LinkedIn paid campaign targeting VP Engineering and Head of SRE at companies with 200–2,000 employees in DACH and Benelux. Campaign goes live in June following creative production.</w:t>
            </w:r>
          </w:p>
        </w:tc>
      </w:tr>
      <w:tr>
        <w:trPr>
          <w:tblHeader w:val="false"/>
        </w:trPr>
        <w:tc>
          <w:tcPr>
            <w:tcW w:type="dxa" w:w="18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777777"/>
                <w:sz w:val="17"/>
                <w:szCs w:val="17"/>
              </w:rPr>
              <w:t xml:space="preserve">Approach</w:t>
            </w:r>
          </w:p>
        </w:tc>
        <w:tc>
          <w:tcPr>
            <w:tcW w:type="dxa" w:w="72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Campaign architecture, audience strategy, and ad copy produced this month. Creative direction brief prepared for design team. HubSpot attribution configured before launch. Note: paid media ad spend is billed separately.</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Deliverables This Month</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100"/>
        <w:gridCol w:w="1526"/>
        <w:gridCol w:w="1200"/>
      </w:tblGrid>
      <w:tr>
        <w:trPr>
          <w:tblHeader/>
        </w:trPr>
        <w:tc>
          <w:tcPr>
            <w:tcW w:type="dxa" w:w="5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Deliverable</w:t>
            </w:r>
          </w:p>
        </w:tc>
        <w:tc>
          <w:tcPr>
            <w:tcW w:type="dxa" w:w="11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Week</w:t>
            </w:r>
          </w:p>
        </w:tc>
        <w:tc>
          <w:tcPr>
            <w:tcW w:type="dxa" w:w="1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Review window</w:t>
            </w:r>
          </w:p>
        </w:tc>
        <w:tc>
          <w:tcPr>
            <w:tcW w:type="dxa" w:w="12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Status</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Campaign Brief &amp; Architecture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2</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Audience Strategy (3 segments)</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2</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Ad Copy — 3 ad sets × 3 variations</w:t>
            </w:r>
          </w:p>
          <w:p>
            <w:pPr>
              <w:spacing w:after="0" w:before="0"/>
              <w:jc w:val="left"/>
            </w:pPr>
            <w:r>
              <w:rPr>
                <w:rFonts w:ascii="Arial" w:cs="Arial" w:eastAsia="Arial" w:hAnsi="Arial"/>
                <w:b w:val="false"/>
                <w:bCs w:val="false"/>
                <w:i/>
                <w:iCs/>
                <w:color w:val="F57F17"/>
                <w:sz w:val="16"/>
                <w:szCs w:val="16"/>
              </w:rPr>
              <w:t xml:space="preserve">⚑ Depends on: Campaign brief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3</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30" w:before="0"/>
              <w:jc w:val="left"/>
            </w:pPr>
            <w:r>
              <w:rPr>
                <w:rFonts w:ascii="Arial" w:cs="Arial" w:eastAsia="Arial" w:hAnsi="Arial"/>
                <w:b w:val="false"/>
                <w:bCs w:val="false"/>
                <w:i w:val="false"/>
                <w:iCs w:val="false"/>
                <w:color w:val="2D2D2D"/>
                <w:sz w:val="19"/>
                <w:szCs w:val="19"/>
              </w:rPr>
              <w:t xml:space="preserve">Creative Direction Brief</w:t>
            </w:r>
          </w:p>
          <w:p>
            <w:pPr>
              <w:spacing w:after="0" w:before="0"/>
              <w:jc w:val="left"/>
            </w:pPr>
            <w:r>
              <w:rPr>
                <w:rFonts w:ascii="Arial" w:cs="Arial" w:eastAsia="Arial" w:hAnsi="Arial"/>
                <w:b w:val="false"/>
                <w:bCs w:val="false"/>
                <w:i/>
                <w:iCs/>
                <w:color w:val="F57F17"/>
                <w:sz w:val="16"/>
                <w:szCs w:val="16"/>
              </w:rPr>
              <w:t xml:space="preserve">⚑ Depends on: Campaign brief approved</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3</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HubSpot Attribution Setup</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4</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r>
        <w:trPr>
          <w:tblHeader w:val="false"/>
        </w:trPr>
        <w:tc>
          <w:tcPr>
            <w:tcW w:type="dxa" w:w="52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Launch Readiness Report</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Week 4</w:t>
            </w:r>
          </w:p>
        </w:tc>
        <w:tc>
          <w:tcPr>
            <w:tcW w:type="dxa" w:w="1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200"/>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Scheduled</w:t>
            </w:r>
          </w:p>
        </w:tc>
      </w:tr>
    </w:tbl>
    <w:p>
      <w:pPr>
        <w:spacing w:after="18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Success Metrics</w:t>
            </w:r>
          </w:p>
        </w:tc>
      </w:tr>
    </w:tbl>
    <w:p>
      <w:pPr>
        <w:spacing w:after="8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KPI</w:t>
            </w:r>
          </w:p>
        </w:tc>
        <w:tc>
          <w:tcPr>
            <w:tcW w:type="dxa" w:w="20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Target</w:t>
            </w:r>
          </w:p>
        </w:tc>
        <w:tc>
          <w:tcPr>
            <w:tcW w:type="dxa" w:w="35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How We Measure</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Cost per lead (CPL)</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&lt; 90 credits equiv.</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LinkedIn Campaign Manager + HubSpot</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Click-through rate (CTR)</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&gt; 0.6%</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LinkedIn Campaign Manager</w:t>
            </w:r>
          </w:p>
        </w:tc>
      </w:tr>
      <w:tr>
        <w:trPr>
          <w:tblHeader w:val="false"/>
        </w:trPr>
        <w:tc>
          <w:tcPr>
            <w:tcW w:type="dxa" w:w="3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9"/>
                <w:szCs w:val="19"/>
              </w:rPr>
              <w:t xml:space="preserve">Demo requests from LinkedIn (June)</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 5 in first 2 wks</w:t>
            </w:r>
          </w:p>
        </w:tc>
        <w:tc>
          <w:tcPr>
            <w:tcW w:type="dxa" w:w="3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777777"/>
                <w:sz w:val="18"/>
                <w:szCs w:val="18"/>
              </w:rPr>
              <w:t xml:space="preserve">HubSpot source attribution</w:t>
            </w:r>
          </w:p>
        </w:tc>
      </w:tr>
    </w:tbl>
    <w:p>
      <w:pPr>
        <w:spacing w:after="100" w:before="0"/>
        <w:jc w:val="left"/>
      </w:pPr>
      <w:r>
        <w:br w:type="pag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680" w:hRule="atLeast"/>
        </w:trPr>
        <w:tc>
          <w:tcPr>
            <w:tcW w:type="dxa" w:w="9026"/>
            <w:tcBorders>
              <w:top w:val="none" w:color="FFFFFF" w:sz="0"/>
              <w:left w:val="none" w:color="FFFFFF" w:sz="0"/>
              <w:bottom w:val="none" w:color="FFFFFF" w:sz="0"/>
              <w:right w:val="none" w:color="FFFFFF" w:sz="0"/>
            </w:tcBorders>
            <w:shd w:fill="2D2D2D" w:val="clear"/>
            <w:tcMar>
              <w:top w:type="dxa" w:w="100"/>
              <w:left w:type="dxa" w:w="140"/>
              <w:bottom w:type="dxa" w:w="100"/>
              <w:right w:type="dxa" w:w="140"/>
            </w:tcMar>
            <w:vAlign w:val="center"/>
          </w:tcPr>
          <w:p>
            <w:pPr>
              <w:spacing w:after="50" w:before="0"/>
              <w:jc w:val="left"/>
            </w:pPr>
            <w:r>
              <w:rPr>
                <w:rFonts w:ascii="Arial" w:cs="Arial" w:eastAsia="Arial" w:hAnsi="Arial"/>
                <w:b/>
                <w:bCs/>
                <w:i w:val="false"/>
                <w:iCs w:val="false"/>
                <w:color w:val="FFFFFF"/>
                <w:sz w:val="23"/>
                <w:szCs w:val="23"/>
              </w:rPr>
              <w:t xml:space="preserve">DELIVERY TIMELINE</w:t>
            </w:r>
          </w:p>
          <w:p>
            <w:pPr>
              <w:spacing w:after="0" w:before="0"/>
              <w:jc w:val="left"/>
            </w:pPr>
            <w:r>
              <w:rPr>
                <w:rFonts w:ascii="Arial" w:cs="Arial" w:eastAsia="Arial" w:hAnsi="Arial"/>
                <w:b w:val="false"/>
                <w:bCs w:val="false"/>
                <w:i/>
                <w:iCs/>
                <w:color w:val="AAAAAA"/>
                <w:sz w:val="17"/>
                <w:szCs w:val="17"/>
              </w:rPr>
              <w:t xml:space="preserve">May 2026 — all deliverables, dependencies flagged with ⚑</w:t>
            </w:r>
          </w:p>
        </w:tc>
      </w:tr>
    </w:tbl>
    <w:p>
      <w:pPr>
        <w:spacing w:after="200" w:before="0"/>
        <w:jc w:val="left"/>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100"/>
        <w:gridCol w:w="1400"/>
        <w:gridCol w:w="1326"/>
      </w:tblGrid>
      <w:tr>
        <w:trPr>
          <w:tblHeader/>
        </w:trPr>
        <w:tc>
          <w:tcPr>
            <w:tcW w:type="dxa" w:w="8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Week</w:t>
            </w:r>
          </w:p>
        </w:tc>
        <w:tc>
          <w:tcPr>
            <w:tcW w:type="dxa" w:w="44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left"/>
            </w:pPr>
            <w:r>
              <w:rPr>
                <w:rFonts w:ascii="Arial" w:cs="Arial" w:eastAsia="Arial" w:hAnsi="Arial"/>
                <w:b/>
                <w:bCs/>
                <w:i w:val="false"/>
                <w:iCs w:val="false"/>
                <w:color w:val="FFFFFF"/>
                <w:sz w:val="18"/>
                <w:szCs w:val="18"/>
              </w:rPr>
              <w:t xml:space="preserve">Deliverable</w:t>
            </w:r>
          </w:p>
        </w:tc>
        <w:tc>
          <w:tcPr>
            <w:tcW w:type="dxa" w:w="11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Initiative</w:t>
            </w:r>
          </w:p>
        </w:tc>
        <w:tc>
          <w:tcPr>
            <w:tcW w:type="dxa" w:w="1400"/>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Review window</w:t>
            </w:r>
          </w:p>
        </w:tc>
        <w:tc>
          <w:tcPr>
            <w:tcW w:type="dxa" w:w="1326"/>
            <w:tcBorders>
              <w:top w:val="single" w:color="D4D4D4" w:sz="1"/>
              <w:left w:val="single" w:color="D4D4D4" w:sz="1"/>
              <w:bottom w:val="single" w:color="D4D4D4" w:sz="1"/>
              <w:right w:val="single" w:color="D4D4D4" w:sz="1"/>
            </w:tcBorders>
            <w:shd w:fill="2D2D2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18"/>
                <w:szCs w:val="18"/>
              </w:rPr>
              <w:t xml:space="preserve">Status</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1</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Positioning &amp; ICP Narrative Document</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6"/>
                <w:szCs w:val="16"/>
              </w:rPr>
              <w:t xml:space="preserve">In Progress</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1</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Keyword Cluster Map</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326"/>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6"/>
                <w:szCs w:val="16"/>
              </w:rPr>
              <w:t xml:space="preserve">In Progress</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1</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Pillar #1 — IT Monitoring for Scale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8E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57F17"/>
                <w:sz w:val="16"/>
                <w:szCs w:val="16"/>
              </w:rPr>
              <w:t xml:space="preserve">In Progress</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2</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 Messaging House (depends on positioning)</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2</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Homepage Rewrite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2</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Pillar #2 — Reducing Alert Fatigue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2</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Campaign Brief &amp; Audience Strategy</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03</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3</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Product Page Rewrite (2 pages)</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3</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Pricing Page Rewrite</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01</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3</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Pillar #3 — SRE vs. DevOps Tools</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3</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 Ad Copy — 3 ad sets (depends on brief)</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03</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72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3</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F57F17"/>
                <w:sz w:val="18"/>
                <w:szCs w:val="18"/>
              </w:rPr>
              <w:t xml:space="preserve">⚑ Creative Direction Brief (depends on brief)</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03</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4</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Pillar #4 — Enterprise Observability</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4</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Internal Linking Plan</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02</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4</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HubSpot Attribution Setup</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03</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No review</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r>
        <w:trPr>
          <w:tblHeader w:val="false"/>
        </w:trPr>
        <w:tc>
          <w:tcPr>
            <w:tcW w:type="dxa" w:w="8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7"/>
                <w:szCs w:val="17"/>
              </w:rPr>
              <w:t xml:space="preserve">Wk 4</w:t>
            </w:r>
          </w:p>
        </w:tc>
        <w:tc>
          <w:tcPr>
            <w:tcW w:type="dxa" w:w="4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2D2D2D"/>
                <w:sz w:val="18"/>
                <w:szCs w:val="18"/>
              </w:rPr>
              <w:t xml:space="preserve">Launch Readiness Report</w:t>
            </w:r>
          </w:p>
        </w:tc>
        <w:tc>
          <w:tcPr>
            <w:tcW w:type="dxa" w:w="11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7"/>
                <w:szCs w:val="17"/>
              </w:rPr>
              <w:t xml:space="preserve">03</w:t>
            </w:r>
          </w:p>
        </w:tc>
        <w:tc>
          <w:tcPr>
            <w:tcW w:type="dxa" w:w="14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7"/>
                <w:szCs w:val="17"/>
              </w:rPr>
              <w:t xml:space="preserve">48 hrs</w:t>
            </w:r>
          </w:p>
        </w:tc>
        <w:tc>
          <w:tcPr>
            <w:tcW w:type="dxa" w:w="1326"/>
            <w:tcBorders>
              <w:top w:val="single" w:color="D4D4D4" w:sz="1"/>
              <w:left w:val="single" w:color="D4D4D4" w:sz="1"/>
              <w:bottom w:val="single" w:color="D4D4D4" w:sz="1"/>
              <w:right w:val="single" w:color="D4D4D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777777"/>
                <w:sz w:val="16"/>
                <w:szCs w:val="16"/>
              </w:rPr>
              <w:t xml:space="preserve">Scheduled</w:t>
            </w:r>
          </w:p>
        </w:tc>
      </w:tr>
    </w:tbl>
    <w:p>
      <w:pPr>
        <w:spacing w:after="120" w:before="0"/>
        <w:jc w:val="left"/>
      </w:pPr>
      <w:r>
        <w:rPr>
          <w:rFonts w:ascii="Arial" w:cs="Arial" w:eastAsia="Arial" w:hAnsi="Arial"/>
          <w:b w:val="false"/>
          <w:bCs w:val="false"/>
          <w:i w:val="false"/>
          <w:iCs w:val="false"/>
          <w:color w:val="2D2D2D"/>
          <w:sz w:val="20"/>
          <w:szCs w:val="20"/>
        </w:rPr>
        <w:t xml:space="preserve"/>
      </w:r>
    </w:p>
    <w:p>
      <w:pPr>
        <w:spacing w:after="0" w:before="0"/>
        <w:jc w:val="left"/>
      </w:pPr>
      <w:r>
        <w:rPr>
          <w:rFonts w:ascii="Arial" w:cs="Arial" w:eastAsia="Arial" w:hAnsi="Arial"/>
          <w:b w:val="false"/>
          <w:bCs w:val="false"/>
          <w:i/>
          <w:iCs/>
          <w:color w:val="F57F17"/>
          <w:sz w:val="16"/>
          <w:szCs w:val="16"/>
        </w:rPr>
        <w:t xml:space="preserve">⚑ Items marked with this symbol have a dependency — they cannot begin until the preceding deliverable is approved.</w:t>
      </w:r>
    </w:p>
    <w:p>
      <w:pPr>
        <w:spacing w:after="220" w:before="0"/>
        <w:jc w:val="left"/>
      </w:pPr>
      <w:r>
        <w:rPr>
          <w:rFonts w:ascii="Arial" w:cs="Arial" w:eastAsia="Arial" w:hAnsi="Arial"/>
          <w:b w:val="false"/>
          <w:bCs w:val="false"/>
          <w:i w:val="false"/>
          <w:iCs w:val="false"/>
          <w:color w:val="2D2D2D"/>
          <w:sz w:val="20"/>
          <w:szCs w:val="20"/>
        </w:rPr>
        <w:t xml:space="preserve"/>
      </w:r>
    </w:p>
    <w:p>
      <w:pPr>
        <w:pBdr>
          <w:bottom w:val="single" w:color="C8E000" w:sz="8" w:space="4"/>
        </w:pBdr>
        <w:spacing w:after="80" w:before="80"/>
        <w:jc w:val="left"/>
      </w:pPr>
      <w:r>
        <w:rPr>
          <w:rFonts w:ascii="Arial" w:cs="Arial" w:eastAsia="Arial" w:hAnsi="Arial"/>
          <w:b w:val="false"/>
          <w:bCs w:val="false"/>
          <w:i w:val="false"/>
          <w:iCs w:val="false"/>
          <w:color w:val="2D2D2D"/>
          <w:sz w:val="20"/>
          <w:szCs w:val="20"/>
        </w:rPr>
        <w:t xml:space="preserve"/>
      </w:r>
    </w:p>
    <w:p>
      <w:pPr>
        <w:spacing w:after="1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420" w:hRule="atLeast"/>
        </w:trPr>
        <w:tc>
          <w:tcPr>
            <w:tcW w:type="dxa" w:w="9026"/>
            <w:tcBorders>
              <w:top w:val="none" w:color="FFFFFF" w:sz="0"/>
              <w:left w:val="none" w:color="FFFFFF" w:sz="0"/>
              <w:bottom w:val="none" w:color="FFFFFF" w:sz="0"/>
              <w:right w:val="none" w:color="FFFFFF" w:sz="0"/>
            </w:tcBorders>
            <w:shd w:fill="EBEBE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NEXT MONTH PREVIEW — JUNE 2026</w:t>
            </w:r>
          </w:p>
        </w:tc>
      </w:tr>
    </w:tbl>
    <w:p>
      <w:pPr>
        <w:spacing w:after="1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4500"/>
        <w:gridCol w:w="4526"/>
      </w:tblGrid>
      <w:tr>
        <w:trPr>
          <w:tblHeader w:val="false"/>
        </w:trPr>
        <w:tc>
          <w:tcPr>
            <w:tcW w:type="dxa" w:w="4500"/>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D2D2D"/>
                <w:sz w:val="18"/>
                <w:szCs w:val="18"/>
              </w:rPr>
              <w:t xml:space="preserve">PLANNED INITIATIVES</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LinkedIn campaign goes live</w:t>
            </w:r>
            <w:r>
              <w:rPr>
                <w:rFonts w:ascii="Arial" w:cs="Arial" w:eastAsia="Arial" w:hAnsi="Arial"/>
                <w:b w:val="false"/>
                <w:bCs w:val="false"/>
                <w:i w:val="false"/>
                <w:iCs w:val="false"/>
                <w:color w:val="2D2D2D"/>
                <w:sz w:val="18"/>
                <w:szCs w:val="18"/>
              </w:rPr>
              <w:t xml:space="preserve">  —  full campaign managed by GritFuel, Wk 1 June</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Email nurture sequence</w:t>
            </w:r>
            <w:r>
              <w:rPr>
                <w:rFonts w:ascii="Arial" w:cs="Arial" w:eastAsia="Arial" w:hAnsi="Arial"/>
                <w:b w:val="false"/>
                <w:bCs w:val="false"/>
                <w:i w:val="false"/>
                <w:iCs w:val="false"/>
                <w:color w:val="2D2D2D"/>
                <w:sz w:val="18"/>
                <w:szCs w:val="18"/>
              </w:rPr>
              <w:t xml:space="preserve">  —  5-email onboarding drip for trial sign-ups</w:t>
            </w:r>
          </w:p>
          <w:p>
            <w:pPr>
              <w:pStyle w:val="ListParagraph"/>
              <w:numPr>
                <w:ilvl w:val="0"/>
                <w:numId w:val="2"/>
              </w:numPr>
              <w:spacing w:after="80" w:before="0"/>
              <w:jc w:val="left"/>
            </w:pPr>
            <w:r>
              <w:rPr>
                <w:rFonts w:ascii="Arial" w:cs="Arial" w:eastAsia="Arial" w:hAnsi="Arial"/>
                <w:b/>
                <w:bCs/>
                <w:i w:val="false"/>
                <w:iCs w:val="false"/>
                <w:color w:val="2D2D2D"/>
                <w:sz w:val="19"/>
                <w:szCs w:val="19"/>
              </w:rPr>
              <w:t xml:space="preserve">Mid-funnel case study</w:t>
            </w:r>
            <w:r>
              <w:rPr>
                <w:rFonts w:ascii="Arial" w:cs="Arial" w:eastAsia="Arial" w:hAnsi="Arial"/>
                <w:b w:val="false"/>
                <w:bCs w:val="false"/>
                <w:i w:val="false"/>
                <w:iCs w:val="false"/>
                <w:color w:val="2D2D2D"/>
                <w:sz w:val="18"/>
                <w:szCs w:val="18"/>
              </w:rPr>
              <w:t xml:space="preserve">  —  first client story from the pilot programme</w:t>
            </w:r>
          </w:p>
          <w:p>
            <w:pPr>
              <w:pStyle w:val="ListParagraph"/>
              <w:numPr>
                <w:ilvl w:val="0"/>
                <w:numId w:val="2"/>
              </w:numPr>
              <w:spacing w:after="0" w:before="0"/>
              <w:jc w:val="left"/>
            </w:pPr>
            <w:r>
              <w:rPr>
                <w:rFonts w:ascii="Arial" w:cs="Arial" w:eastAsia="Arial" w:hAnsi="Arial"/>
                <w:b/>
                <w:bCs/>
                <w:i w:val="false"/>
                <w:iCs w:val="false"/>
                <w:color w:val="2D2D2D"/>
                <w:sz w:val="19"/>
                <w:szCs w:val="19"/>
              </w:rPr>
              <w:t xml:space="preserve">Monthly review call</w:t>
            </w:r>
            <w:r>
              <w:rPr>
                <w:rFonts w:ascii="Arial" w:cs="Arial" w:eastAsia="Arial" w:hAnsi="Arial"/>
                <w:b w:val="false"/>
                <w:bCs w:val="false"/>
                <w:i w:val="false"/>
                <w:iCs w:val="false"/>
                <w:color w:val="2D2D2D"/>
                <w:sz w:val="18"/>
                <w:szCs w:val="18"/>
              </w:rPr>
              <w:t xml:space="preserve">  —  30 min, 1 June 2026. Agenda sent 48 hrs prior.</w:t>
            </w:r>
          </w:p>
        </w:tc>
        <w:tc>
          <w:tcPr>
            <w:tcW w:type="dxa" w:w="4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2D2D2D"/>
                <w:sz w:val="18"/>
                <w:szCs w:val="18"/>
              </w:rPr>
              <w:t xml:space="preserve">CREDIT OUTLOOK — JUNE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000"/>
            </w:tblGrid>
            <w:tr>
              <w:trPr>
                <w:tblHeader w:val="false"/>
              </w:trPr>
              <w:tc>
                <w:tcPr>
                  <w:tcW w:type="dxa" w:w="2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8"/>
                      <w:szCs w:val="18"/>
                    </w:rPr>
                    <w:t xml:space="preserve">Monthly allocation</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8"/>
                      <w:szCs w:val="18"/>
                    </w:rPr>
                    <w:t xml:space="preserve">125 cr</w:t>
                  </w:r>
                </w:p>
              </w:tc>
            </w:tr>
            <w:tr>
              <w:trPr>
                <w:tblHeader w:val="false"/>
              </w:trPr>
              <w:tc>
                <w:tcPr>
                  <w:tcW w:type="dxa" w:w="2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8"/>
                      <w:szCs w:val="18"/>
                    </w:rPr>
                    <w:t xml:space="preserve">+ May rollover</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D32"/>
                      <w:sz w:val="18"/>
                      <w:szCs w:val="18"/>
                    </w:rPr>
                    <w:t xml:space="preserve">+ 7 cr</w:t>
                  </w:r>
                </w:p>
              </w:tc>
            </w:tr>
            <w:tr>
              <w:trPr>
                <w:tblHeader w:val="false"/>
              </w:trPr>
              <w:tc>
                <w:tcPr>
                  <w:tcW w:type="dxa" w:w="2526"/>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8"/>
                      <w:szCs w:val="18"/>
                    </w:rPr>
                    <w:t xml:space="preserve">Total available</w:t>
                  </w:r>
                </w:p>
              </w:tc>
              <w:tc>
                <w:tcPr>
                  <w:tcW w:type="dxa" w:w="2000"/>
                  <w:tcBorders>
                    <w:top w:val="single" w:color="D4D4D4" w:sz="1"/>
                    <w:left w:val="single" w:color="D4D4D4" w:sz="1"/>
                    <w:bottom w:val="single" w:color="D4D4D4" w:sz="1"/>
                    <w:right w:val="single" w:color="D4D4D4"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22"/>
                      <w:szCs w:val="22"/>
                    </w:rPr>
                    <w:t xml:space="preserve">132 cr</w:t>
                  </w:r>
                </w:p>
              </w:tc>
            </w:tr>
            <w:tr>
              <w:trPr>
                <w:tblHeader w:val="false"/>
              </w:trPr>
              <w:tc>
                <w:tcPr>
                  <w:tcW w:type="dxa" w:w="2526"/>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777777"/>
                      <w:sz w:val="17"/>
                      <w:szCs w:val="17"/>
                    </w:rPr>
                    <w:t xml:space="preserve">Est. committed</w:t>
                  </w:r>
                </w:p>
              </w:tc>
              <w:tc>
                <w:tcPr>
                  <w:tcW w:type="dxa" w:w="2000"/>
                  <w:tcBorders>
                    <w:top w:val="single" w:color="D4D4D4" w:sz="1"/>
                    <w:left w:val="single" w:color="D4D4D4" w:sz="1"/>
                    <w:bottom w:val="single" w:color="D4D4D4" w:sz="1"/>
                    <w:right w:val="single" w:color="D4D4D4"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777777"/>
                      <w:sz w:val="18"/>
                      <w:szCs w:val="18"/>
                    </w:rPr>
                    <w:t xml:space="preserve">~95 cr</w:t>
                  </w:r>
                </w:p>
              </w:tc>
            </w:tr>
          </w:tbl>
          <w:p/>
        </w:tc>
      </w:tr>
    </w:tbl>
    <w:p>
      <w:pPr>
        <w:spacing w:after="220" w:before="0"/>
        <w:jc w:val="left"/>
      </w:pPr>
      <w:r>
        <w:rPr>
          <w:rFonts w:ascii="Arial" w:cs="Arial" w:eastAsia="Arial" w:hAnsi="Arial"/>
          <w:b w:val="false"/>
          <w:bCs w:val="false"/>
          <w:i w:val="false"/>
          <w:iCs w:val="false"/>
          <w:color w:val="2D2D2D"/>
          <w:sz w:val="20"/>
          <w:szCs w:val="20"/>
        </w:rPr>
        <w:t xml:space="preserve"/>
      </w:r>
    </w:p>
    <w:tbl>
      <w:tblPr>
        <w:tblW w:type="dxa" w:w="9026"/>
        <w:tblBorders>
          <w:top w:val="none"/>
          <w:left w:val="none"/>
          <w:bottom w:val="none"/>
          <w:right w:val="none"/>
          <w:insideH w:val="single" w:color="auto" w:sz="4"/>
          <w:insideV w:val="single" w:color="auto" w:sz="4"/>
        </w:tblBorders>
      </w:tblPr>
      <w:tblGrid>
        <w:gridCol w:w="9026"/>
      </w:tblGrid>
      <w:tr>
        <w:trPr>
          <w:tblHeader w:val="false"/>
          <w:trHeight w:val="900" w:hRule="atLeast"/>
        </w:trPr>
        <w:tc>
          <w:tcPr>
            <w:tcW w:type="dxa" w:w="9026"/>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2D2D2D"/>
                <w:sz w:val="18"/>
                <w:szCs w:val="18"/>
              </w:rPr>
              <w:t xml:space="preserve">STRATEGIST'S NOTE</w:t>
            </w:r>
          </w:p>
          <w:p>
            <w:pPr>
              <w:spacing w:after="80" w:before="0"/>
              <w:jc w:val="left"/>
            </w:pPr>
            <w:r>
              <w:rPr>
                <w:rFonts w:ascii="Arial" w:cs="Arial" w:eastAsia="Arial" w:hAnsi="Arial"/>
                <w:b w:val="false"/>
                <w:bCs w:val="false"/>
                <w:i/>
                <w:iCs/>
                <w:color w:val="2D2D2D"/>
                <w:sz w:val="19"/>
                <w:szCs w:val="19"/>
              </w:rPr>
              <w:t xml:space="preserve">The positioning document (Week 1) is the dependency that shapes everything else this month. Once that's approved, the rest of the messaging work and the LinkedIn brief all move in parallel. Please prioritise your review and provide consolidated feedback within 72 hours of delivery. I'll send a reminder if the window is close to closing.</w:t>
            </w:r>
          </w:p>
          <w:p>
            <w:pPr>
              <w:spacing w:after="0" w:before="0"/>
              <w:jc w:val="left"/>
            </w:pPr>
            <w:r>
              <w:rPr>
                <w:rFonts w:ascii="Arial" w:cs="Arial" w:eastAsia="Arial" w:hAnsi="Arial"/>
                <w:b/>
                <w:bCs/>
                <w:i w:val="false"/>
                <w:iCs w:val="false"/>
                <w:color w:val="777777"/>
                <w:sz w:val="17"/>
                <w:szCs w:val="17"/>
              </w:rPr>
              <w:t xml:space="preserve">Kim  ·  Lead Strategist, GritFuel</w:t>
            </w:r>
          </w:p>
        </w:tc>
      </w:tr>
    </w:tbl>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before="0"/>
      <w:jc w:val="left"/>
    </w:pPr>
    <w:r>
      <w:rPr>
        <w:rFonts w:ascii="Arial" w:cs="Arial" w:eastAsia="Arial" w:hAnsi="Arial"/>
        <w:b w:val="false"/>
        <w:bCs w:val="false"/>
        <w:i w:val="false"/>
        <w:iCs w:val="false"/>
        <w:color w:val="BBBBBB"/>
        <w:sz w:val="16"/>
        <w:szCs w:val="16"/>
      </w:rPr>
      <w:t xml:space="preserve">Confidential — prepared for Helio by GritFuel  ·  gritfuel.works</w:t>
    </w:r>
    <w:r>
      <w:rPr>
        <w:rFonts w:ascii="Arial" w:cs="Arial" w:eastAsia="Arial" w:hAnsi="Arial"/>
        <w:b w:val="false"/>
        <w:bCs w:val="false"/>
        <w:i w:val="false"/>
        <w:iCs w:val="false"/>
        <w:color w:val="2D2D2D"/>
        <w:sz w:val="20"/>
        <w:szCs w:val="20"/>
      </w:rPr>
      <w:t xml:space="preserve">	</w:t>
    </w:r>
    <w:r>
      <w:rPr>
        <w:rFonts w:ascii="Arial" w:cs="Arial" w:eastAsia="Arial" w:hAnsi="Arial"/>
        <w:b w:val="false"/>
        <w:bCs w:val="false"/>
        <w:i w:val="false"/>
        <w:iCs w:val="false"/>
        <w:color w:val="BBBBBB"/>
        <w:sz w:val="16"/>
        <w:szCs w:val="16"/>
      </w:rPr>
      <w:t xml:space="preserve">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left"/>
    </w:pPr>
    <w:r>
      <w:rPr>
        <w:rFonts w:ascii="Arial" w:cs="Arial" w:eastAsia="Arial" w:hAnsi="Arial"/>
        <w:b w:val="false"/>
        <w:bCs w:val="false"/>
        <w:i w:val="false"/>
        <w:iCs w:val="false"/>
        <w:color w:val="BBBBBB"/>
        <w:sz w:val="16"/>
        <w:szCs w:val="16"/>
      </w:rPr>
      <w:t xml:space="preserve">GritFuel  ·  Monthly Growth Playbook</w:t>
    </w:r>
    <w:r>
      <w:rPr>
        <w:rFonts w:ascii="Arial" w:cs="Arial" w:eastAsia="Arial" w:hAnsi="Arial"/>
        <w:b w:val="false"/>
        <w:bCs w:val="false"/>
        <w:i w:val="false"/>
        <w:iCs w:val="false"/>
        <w:color w:val="2D2D2D"/>
        <w:sz w:val="20"/>
        <w:szCs w:val="20"/>
      </w:rPr>
      <w:t xml:space="preserve">	</w:t>
    </w:r>
    <w:r>
      <w:rPr>
        <w:rFonts w:ascii="Arial" w:cs="Arial" w:eastAsia="Arial" w:hAnsi="Arial"/>
        <w:b w:val="false"/>
        <w:bCs w:val="false"/>
        <w:i w:val="false"/>
        <w:iCs w:val="false"/>
        <w:color w:val="BBBBBB"/>
        <w:sz w:val="16"/>
        <w:szCs w:val="16"/>
      </w:rPr>
      <w:t xml:space="preserve">Helio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rPr>
        <w:rFonts w:ascii="Arial" w:cs="Arial" w:eastAsia="Arial" w:hAnsi="Arial"/>
        <w:color w:val="2D2D2D"/>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2026-04-15T11:26:37.676Z</dcterms:created>
  <dcterms:modified xsi:type="dcterms:W3CDTF">2026-04-15T11:26:37.677Z</dcterms:modified>
</cp:coreProperties>
</file>

<file path=docProps/custom.xml><?xml version="1.0" encoding="utf-8"?>
<Properties xmlns="http://schemas.openxmlformats.org/officeDocument/2006/custom-properties" xmlns:vt="http://schemas.openxmlformats.org/officeDocument/2006/docPropsVTypes"/>
</file>