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b/>
          <w:color w:val="1A1A1A"/>
          <w:sz w:val="56"/>
        </w:rPr>
        <w:t>GRITFUEL</w:t>
      </w:r>
    </w:p>
    <w:p>
      <w:pPr>
        <w:spacing w:before="0" w:after="40"/>
      </w:pPr>
      <w:r>
        <w:rPr>
          <w:b/>
          <w:color w:val="C8E000"/>
          <w:sz w:val="32"/>
        </w:rPr>
        <w:t>GritFuel OS</w:t>
      </w:r>
    </w:p>
    <w:p>
      <w:pPr>
        <w:spacing w:before="0" w:after="400"/>
      </w:pPr>
      <w:r>
        <w:rPr>
          <w:color w:val="4A4A4A"/>
          <w:sz w:val="26"/>
        </w:rPr>
        <w:t>System Journey &amp; Developer Handoff</w:t>
      </w:r>
    </w:p>
    <w:p>
      <w:pPr>
        <w:spacing w:before="120" w:after="200"/>
      </w:pPr>
      <w:r>
        <w:rPr>
          <w:color w:val="CCCCCC"/>
          <w:sz w:val="14"/>
        </w:rPr>
        <w:t>────────────────────────────────────────────────────────────────────────────────</w:t>
      </w:r>
    </w:p>
    <w:p>
      <w:pPr>
        <w:spacing w:before="0" w:after="120"/>
      </w:pPr>
      <w:r>
        <w:rPr>
          <w:color w:val="4A4A4A"/>
          <w:sz w:val="20"/>
        </w:rPr>
        <w:t>Internal document · Confidential · April 2026</w:t>
      </w:r>
    </w:p>
    <w:p>
      <w:pPr>
        <w:spacing w:before="0" w:after="120"/>
      </w:pPr>
      <w:r>
        <w:rPr>
          <w:color w:val="4A4A4A"/>
          <w:sz w:val="20"/>
        </w:rPr>
        <w:t>Prepared for the GritFuel team, specialist partners, and development team (CTO and engineers).</w:t>
      </w:r>
    </w:p>
    <w:p>
      <w:pPr>
        <w:spacing w:before="200"/>
      </w:pPr>
      <w:r>
        <w:rPr>
          <w:b/>
          <w:color w:val="1A1A1A"/>
          <w:sz w:val="20"/>
        </w:rPr>
        <w:t xml:space="preserve">The core premise.  </w:t>
      </w:r>
      <w:r>
        <w:rPr>
          <w:color w:val="4A4A4A"/>
          <w:sz w:val="20"/>
        </w:rPr>
        <w:t>Most growth agencies restart from zero each month. GritFuel does the opposite. Every client runs through the same five-tool system, in the same order, using the same logic — so performance compounds rather than resets. The longer a client stays, the smarter the system gets.</w:t>
      </w:r>
    </w:p>
    <w:p>
      <w:pPr>
        <w:spacing w:before="120" w:after="200"/>
      </w:pPr>
      <w:r>
        <w:rPr>
          <w:color w:val="CCCCCC"/>
          <w:sz w:val="14"/>
        </w:rPr>
        <w:t>────────────────────────────────────────────────────────────────────────────────</w:t>
      </w:r>
    </w:p>
    <w:p>
      <w:pPr>
        <w:spacing w:before="200" w:after="80"/>
      </w:pPr>
      <w:r>
        <w:rPr>
          <w:b/>
          <w:color w:val="1A1A1A"/>
          <w:sz w:val="26"/>
        </w:rPr>
        <w:t>Contents</w:t>
      </w:r>
    </w:p>
    <w:p>
      <w:pPr>
        <w:spacing w:before="20" w:after="20"/>
      </w:pPr>
      <w:r>
        <w:rPr>
          <w:b/>
          <w:color w:val="1A1A1A"/>
          <w:sz w:val="20"/>
        </w:rPr>
        <w:t>PART ONE: THE CLIENT JOURNEY</w:t>
      </w:r>
    </w:p>
    <w:p>
      <w:pPr>
        <w:spacing w:before="20" w:after="20"/>
      </w:pPr>
      <w:r>
        <w:rPr>
          <w:b/>
          <w:color w:val="4A4A4A"/>
          <w:sz w:val="20"/>
        </w:rPr>
        <w:t xml:space="preserve">  Step 1 — The Offering</w:t>
      </w:r>
      <w:r>
        <w:rPr>
          <w:i/>
          <w:color w:val="888888"/>
          <w:sz w:val="18"/>
        </w:rPr>
        <w:t xml:space="preserve">  —  Services Menu + Scoping Configurator</w:t>
      </w:r>
    </w:p>
    <w:p>
      <w:pPr>
        <w:spacing w:before="20" w:after="20"/>
      </w:pPr>
      <w:r>
        <w:rPr>
          <w:b/>
          <w:color w:val="4A4A4A"/>
          <w:sz w:val="20"/>
        </w:rPr>
        <w:t xml:space="preserve">  Step 2 — Intake</w:t>
      </w:r>
      <w:r>
        <w:rPr>
          <w:i/>
          <w:color w:val="888888"/>
          <w:sz w:val="18"/>
        </w:rPr>
        <w:t xml:space="preserve">  —  Onboarding Intake Wizard</w:t>
      </w:r>
    </w:p>
    <w:p>
      <w:pPr>
        <w:spacing w:before="20" w:after="20"/>
      </w:pPr>
      <w:r>
        <w:rPr>
          <w:b/>
          <w:color w:val="4A4A4A"/>
          <w:sz w:val="20"/>
        </w:rPr>
        <w:t xml:space="preserve">  Step 3 — Playbook</w:t>
      </w:r>
      <w:r>
        <w:rPr>
          <w:i/>
          <w:color w:val="888888"/>
          <w:sz w:val="18"/>
        </w:rPr>
        <w:t xml:space="preserve">  —  Monthly Growth Playbook</w:t>
      </w:r>
    </w:p>
    <w:p>
      <w:pPr>
        <w:spacing w:before="20" w:after="20"/>
      </w:pPr>
      <w:r>
        <w:rPr>
          <w:b/>
          <w:color w:val="4A4A4A"/>
          <w:sz w:val="20"/>
        </w:rPr>
        <w:t xml:space="preserve">  Step 4A — Tracking</w:t>
      </w:r>
      <w:r>
        <w:rPr>
          <w:i/>
          <w:color w:val="888888"/>
          <w:sz w:val="18"/>
        </w:rPr>
        <w:t xml:space="preserve">  —  Growth Dashboard</w:t>
      </w:r>
    </w:p>
    <w:p>
      <w:pPr>
        <w:spacing w:before="20" w:after="20"/>
      </w:pPr>
      <w:r>
        <w:rPr>
          <w:b/>
          <w:color w:val="4A4A4A"/>
          <w:sz w:val="20"/>
        </w:rPr>
        <w:t xml:space="preserve">  Step 4B — Routing</w:t>
      </w:r>
      <w:r>
        <w:rPr>
          <w:i/>
          <w:color w:val="888888"/>
          <w:sz w:val="18"/>
        </w:rPr>
        <w:t xml:space="preserve">  —  Escalation &amp; Handoff Router</w:t>
      </w:r>
    </w:p>
    <w:p>
      <w:pPr>
        <w:spacing w:before="20" w:after="20"/>
      </w:pPr>
      <w:r>
        <w:rPr>
          <w:b/>
          <w:color w:val="4A4A4A"/>
          <w:sz w:val="20"/>
        </w:rPr>
        <w:t xml:space="preserve">  Step 4C — Allocation</w:t>
      </w:r>
      <w:r>
        <w:rPr>
          <w:i/>
          <w:color w:val="888888"/>
          <w:sz w:val="18"/>
        </w:rPr>
        <w:t xml:space="preserve">  —  Dynamic Credit Allocation</w:t>
      </w:r>
    </w:p>
    <w:p>
      <w:pPr>
        <w:spacing w:before="20" w:after="20"/>
      </w:pPr>
      <w:r>
        <w:rPr>
          <w:b/>
          <w:color w:val="4A4A4A"/>
          <w:sz w:val="20"/>
        </w:rPr>
        <w:t xml:space="preserve">  Step 5 — Compounding</w:t>
      </w:r>
      <w:r>
        <w:rPr>
          <w:i/>
          <w:color w:val="888888"/>
          <w:sz w:val="18"/>
        </w:rPr>
        <w:t xml:space="preserve">  —  Compounding Engine</w:t>
      </w:r>
    </w:p>
    <w:p>
      <w:pPr>
        <w:spacing w:before="20" w:after="20"/>
      </w:pPr>
      <w:r>
        <w:rPr>
          <w:b/>
          <w:color w:val="1A1A1A"/>
          <w:sz w:val="20"/>
        </w:rPr>
        <w:t>PART TWO: DATA ARCHITECTURE</w:t>
      </w:r>
    </w:p>
    <w:p>
      <w:pPr>
        <w:spacing w:before="20" w:after="20"/>
      </w:pPr>
      <w:r>
        <w:rPr>
          <w:b/>
          <w:color w:val="4A4A4A"/>
          <w:sz w:val="20"/>
        </w:rPr>
        <w:t xml:space="preserve">  Chapter 6 — Functional Data Specification</w:t>
      </w:r>
      <w:r>
        <w:rPr>
          <w:i/>
          <w:color w:val="888888"/>
          <w:sz w:val="18"/>
        </w:rPr>
        <w:t xml:space="preserve">  —  Entities, flows, and business rules</w:t>
      </w:r>
    </w:p>
    <w:p>
      <w:pPr>
        <w:spacing w:before="20" w:after="20"/>
      </w:pPr>
      <w:r>
        <w:rPr>
          <w:b/>
          <w:color w:val="4A4A4A"/>
          <w:sz w:val="20"/>
        </w:rPr>
        <w:t xml:space="preserve">  Chapter 7 — Technical Specification</w:t>
      </w:r>
      <w:r>
        <w:rPr>
          <w:i/>
          <w:color w:val="888888"/>
          <w:sz w:val="18"/>
        </w:rPr>
        <w:t xml:space="preserve">  —  Stack, pipeline, API design, build sequence</w:t>
      </w:r>
    </w:p>
    <w:p>
      <w:r>
        <w:br w:type="page"/>
      </w:r>
    </w:p>
    <w:p>
      <w:pPr>
        <w:spacing w:before="0" w:after="400"/>
      </w:pPr>
      <w:r>
        <w:rPr>
          <w:b/>
          <w:color w:val="1A1A1A"/>
          <w:sz w:val="40"/>
        </w:rPr>
        <w:t>PART ONE: THE CLIENT JOURNEY</w:t>
      </w:r>
    </w:p>
    <w:p>
      <w:pPr>
        <w:spacing w:before="120" w:after="200"/>
      </w:pPr>
      <w:r>
        <w:rPr>
          <w:color w:val="CCCCCC"/>
          <w:sz w:val="14"/>
        </w:rPr>
        <w:t>────────────────────────────────────────────────────────────────────────────────</w:t>
      </w:r>
    </w:p>
    <w:p>
      <w:pPr>
        <w:spacing w:before="360" w:after="40"/>
      </w:pPr>
      <w:r>
        <w:rPr>
          <w:rFonts w:ascii="Courier New" w:hAnsi="Courier New"/>
          <w:b/>
          <w:color w:val="C8E000"/>
          <w:sz w:val="18"/>
        </w:rPr>
        <w:t xml:space="preserve">STEP 1  </w:t>
      </w:r>
      <w:r>
        <w:rPr>
          <w:b/>
          <w:color w:val="1A1A1A"/>
          <w:sz w:val="28"/>
        </w:rPr>
        <w:t>THE OFFERING</w:t>
      </w:r>
    </w:p>
    <w:p>
      <w:pPr>
        <w:spacing w:before="0" w:after="160"/>
      </w:pPr>
      <w:r>
        <w:rPr>
          <w:i/>
          <w:color w:val="888888"/>
          <w:sz w:val="20"/>
        </w:rPr>
        <w:t>Services Menu + Scoping Configurator</w:t>
      </w:r>
    </w:p>
    <w:p>
      <w:pPr>
        <w:spacing w:before="0" w:after="120"/>
      </w:pPr>
      <w:r>
        <w:rPr>
          <w:color w:val="4A4A4A"/>
          <w:sz w:val="20"/>
        </w:rPr>
        <w:t>Before any engagement begins, clients need to understand what GritFuel delivers and what it costs. The offering is structured around two components: a fixed Services Menu (all deliverables with pre-set credit values) and a Scoping Configurator (a tool for calculating credits on variable-scope items).</w:t>
      </w:r>
    </w:p>
    <w:p>
      <w:pPr>
        <w:spacing w:before="0" w:after="100"/>
      </w:pPr>
      <w:r>
        <w:rPr>
          <w:b/>
          <w:color w:val="1A1A1A"/>
          <w:sz w:val="20"/>
        </w:rPr>
        <w:t xml:space="preserve">The credit model. </w:t>
      </w:r>
      <w:r>
        <w:rPr>
          <w:color w:val="4A4A4A"/>
          <w:sz w:val="20"/>
        </w:rPr>
        <w:t>Every GritFuel engagement runs on a monthly credit subscription. One credit = €25 of delivered output value. GritFuel prices at approximately 70% of European market rate. Paid media is always billed separately at cost — no markup.</w:t>
      </w:r>
    </w:p>
    <w:p>
      <w:pPr>
        <w:spacing w:before="200" w:after="80"/>
      </w:pPr>
      <w:r>
        <w:rPr>
          <w:b/>
          <w:color w:val="4A4A4A"/>
          <w:sz w:val="22"/>
        </w:rPr>
        <w:t>1A — Services Menu</w:t>
      </w:r>
    </w:p>
    <w:p>
      <w:pPr>
        <w:spacing w:before="0" w:after="120"/>
      </w:pPr>
      <w:r>
        <w:rPr>
          <w:color w:val="4A4A4A"/>
          <w:sz w:val="20"/>
        </w:rPr>
        <w:t>The Services Menu is a comprehensive catalogue of every deliverable GritFuel can produce, organised into seven categories:</w:t>
      </w:r>
    </w:p>
    <w:p>
      <w:pPr>
        <w:pStyle w:val="ListBullet"/>
        <w:spacing w:before="0" w:after="60"/>
        <w:ind w:left="432"/>
      </w:pPr>
      <w:r>
        <w:rPr>
          <w:color w:val="4A4A4A"/>
          <w:sz w:val="20"/>
        </w:rPr>
        <w:t>Discovery &amp; Audit — brand audits, competitive intelligence, SEO, CRO, CRM audits, customer research</w:t>
      </w:r>
    </w:p>
    <w:p>
      <w:pPr>
        <w:pStyle w:val="ListBullet"/>
        <w:spacing w:before="0" w:after="60"/>
        <w:ind w:left="432"/>
      </w:pPr>
      <w:r>
        <w:rPr>
          <w:color w:val="4A4A4A"/>
          <w:sz w:val="20"/>
        </w:rPr>
        <w:t>Brand Strategy &amp; Positioning — positioning statements, messaging hierarchy, ICP definition, GTM strategy</w:t>
      </w:r>
    </w:p>
    <w:p>
      <w:pPr>
        <w:pStyle w:val="ListBullet"/>
        <w:spacing w:before="0" w:after="60"/>
        <w:ind w:left="432"/>
      </w:pPr>
      <w:r>
        <w:rPr>
          <w:color w:val="4A4A4A"/>
          <w:sz w:val="20"/>
        </w:rPr>
        <w:t>Brand Identity &amp; Design — logo, full brand identity, naming, visual systems (.frank)</w:t>
      </w:r>
    </w:p>
    <w:p>
      <w:pPr>
        <w:pStyle w:val="ListBullet"/>
        <w:spacing w:before="0" w:after="60"/>
        <w:ind w:left="432"/>
      </w:pPr>
      <w:r>
        <w:rPr>
          <w:color w:val="4A4A4A"/>
          <w:sz w:val="20"/>
        </w:rPr>
        <w:t>Content &amp; SEO — pillar articles, content strategy, keyword mapping, email newsletters</w:t>
      </w:r>
    </w:p>
    <w:p>
      <w:pPr>
        <w:pStyle w:val="ListBullet"/>
        <w:spacing w:before="0" w:after="60"/>
        <w:ind w:left="432"/>
      </w:pPr>
      <w:r>
        <w:rPr>
          <w:color w:val="4A4A4A"/>
          <w:sz w:val="20"/>
        </w:rPr>
        <w:t>Performance Marketing — paid social, PPC, conversion landing pages, audience segmentation (Bluegyfu)</w:t>
      </w:r>
    </w:p>
    <w:p>
      <w:pPr>
        <w:pStyle w:val="ListBullet"/>
        <w:spacing w:before="0" w:after="60"/>
        <w:ind w:left="432"/>
      </w:pPr>
      <w:r>
        <w:rPr>
          <w:color w:val="4A4A4A"/>
          <w:sz w:val="20"/>
        </w:rPr>
        <w:t>Web &amp; Digital — website builds, landing page systems, CMS setup, analytics configuration</w:t>
      </w:r>
    </w:p>
    <w:p>
      <w:pPr>
        <w:pStyle w:val="ListBullet"/>
        <w:spacing w:before="0" w:after="60"/>
        <w:ind w:left="432"/>
      </w:pPr>
      <w:r>
        <w:rPr>
          <w:color w:val="4A4A4A"/>
          <w:sz w:val="20"/>
        </w:rPr>
        <w:t>Events &amp; Activations — event strategy, stand design, sponsorship support (BFL)</w:t>
      </w:r>
    </w:p>
    <w:p>
      <w:pPr>
        <w:spacing w:before="0" w:after="120"/>
      </w:pPr>
      <w:r>
        <w:rPr>
          <w:color w:val="4A4A4A"/>
          <w:sz w:val="20"/>
        </w:rPr>
        <w:t>Each item in the menu lists: service name, category, delivery partner, output description, European market rate, GritFuel rate (70%), credit equivalent, and scoping notes.</w:t>
      </w:r>
    </w:p>
    <w:p>
      <w:pPr>
        <w:spacing w:before="0" w:after="100"/>
      </w:pPr>
      <w:r>
        <w:rPr>
          <w:b/>
          <w:color w:val="1A1A1A"/>
          <w:sz w:val="20"/>
        </w:rPr>
        <w:t xml:space="preserve">Fixed vs. scoped items. </w:t>
      </w:r>
      <w:r>
        <w:rPr>
          <w:color w:val="4A4A4A"/>
          <w:sz w:val="20"/>
        </w:rPr>
        <w:t>Many services have a fixed credit value (e.g., a Positioning Statement = 98 credits / €2,450). Others — anything with significant scope variation — are marked SCOPED and require the Configurator.</w:t>
      </w:r>
    </w:p>
    <w:p>
      <w:pPr>
        <w:spacing w:before="160" w:after="40"/>
      </w:pPr>
      <w:r>
        <w:rPr>
          <w:rFonts w:ascii="Courier New" w:hAnsi="Courier New"/>
          <w:b/>
          <w:color w:val="C8E000"/>
          <w:sz w:val="16"/>
        </w:rPr>
        <w:t>DELIVERY PARTNERS (INTERNAL USE ONLY)</w:t>
      </w:r>
    </w:p>
    <w:p>
      <w:pPr>
        <w:spacing w:before="40" w:after="40"/>
        <w:ind w:left="432"/>
      </w:pPr>
      <w:r>
        <w:rPr>
          <w:rFonts w:ascii="Courier New" w:hAnsi="Courier New"/>
          <w:b/>
          <w:color w:val="1A1A1A"/>
          <w:sz w:val="18"/>
        </w:rPr>
        <w:t xml:space="preserve">GritFuel              </w:t>
      </w:r>
      <w:r>
        <w:rPr>
          <w:rFonts w:ascii="Courier New" w:hAnsi="Courier New"/>
          <w:color w:val="4A4A4A"/>
          <w:sz w:val="18"/>
        </w:rPr>
        <w:t>Content · SEO · PR · Social · Email · Community</w:t>
      </w:r>
    </w:p>
    <w:p>
      <w:pPr>
        <w:spacing w:before="40" w:after="40"/>
        <w:ind w:left="432"/>
      </w:pPr>
      <w:r>
        <w:rPr>
          <w:rFonts w:ascii="Courier New" w:hAnsi="Courier New"/>
          <w:b/>
          <w:color w:val="1A1A1A"/>
          <w:sz w:val="18"/>
        </w:rPr>
        <w:t xml:space="preserve">.frank                </w:t>
      </w:r>
      <w:r>
        <w:rPr>
          <w:rFonts w:ascii="Courier New" w:hAnsi="Courier New"/>
          <w:color w:val="4A4A4A"/>
          <w:sz w:val="18"/>
        </w:rPr>
        <w:t>Brand strategy · Positioning · Creative direction · Identity · Naming</w:t>
      </w:r>
    </w:p>
    <w:p>
      <w:pPr>
        <w:spacing w:before="40" w:after="40"/>
        <w:ind w:left="432"/>
      </w:pPr>
      <w:r>
        <w:rPr>
          <w:rFonts w:ascii="Courier New" w:hAnsi="Courier New"/>
          <w:b/>
          <w:color w:val="1A1A1A"/>
          <w:sz w:val="18"/>
        </w:rPr>
        <w:t xml:space="preserve">Bluegyfu              </w:t>
      </w:r>
      <w:r>
        <w:rPr>
          <w:rFonts w:ascii="Courier New" w:hAnsi="Courier New"/>
          <w:color w:val="4A4A4A"/>
          <w:sz w:val="18"/>
        </w:rPr>
        <w:t>Paid media · Performance · Analytics · Tech/data · Web builds</w:t>
      </w:r>
    </w:p>
    <w:p>
      <w:pPr>
        <w:spacing w:before="40" w:after="40"/>
        <w:ind w:left="432"/>
      </w:pPr>
      <w:r>
        <w:rPr>
          <w:rFonts w:ascii="Courier New" w:hAnsi="Courier New"/>
          <w:b/>
          <w:color w:val="1A1A1A"/>
          <w:sz w:val="18"/>
        </w:rPr>
        <w:t xml:space="preserve">BFL                   </w:t>
      </w:r>
      <w:r>
        <w:rPr>
          <w:rFonts w:ascii="Courier New" w:hAnsi="Courier New"/>
          <w:color w:val="4A4A4A"/>
          <w:sz w:val="18"/>
        </w:rPr>
        <w:t>Events · Activations · Experiential · Sponsorship</w:t>
      </w:r>
    </w:p>
    <w:p>
      <w:pPr>
        <w:spacing w:before="0" w:after="120"/>
      </w:pPr>
      <w:r>
        <w:rPr>
          <w:color w:val="4A4A4A"/>
          <w:sz w:val="20"/>
        </w:rPr>
        <w:t>Partner names are never visible to clients. In all client-facing communications, partners are described by role: "our brand specialists," "our performance team," "our events team."</w:t>
      </w:r>
    </w:p>
    <w:p>
      <w:pPr>
        <w:spacing w:before="200" w:after="80"/>
      </w:pPr>
      <w:r>
        <w:rPr>
          <w:b/>
          <w:color w:val="4A4A4A"/>
          <w:sz w:val="22"/>
        </w:rPr>
        <w:t>1B — Scoping Configurator</w:t>
      </w:r>
    </w:p>
    <w:p>
      <w:pPr>
        <w:spacing w:before="0" w:after="120"/>
      </w:pPr>
      <w:r>
        <w:rPr>
          <w:color w:val="4A4A4A"/>
          <w:sz w:val="20"/>
        </w:rPr>
        <w:t>The Scoping Configurator calculates credit estimates for variable-scope items during intake. It removes guesswork from pricing and creates a consistent, auditable record. The strategist selects from the SCOPED library (38 services), then applies five scope variables:</w:t>
      </w:r>
    </w:p>
    <w:p>
      <w:pPr>
        <w:pStyle w:val="ListNumber"/>
        <w:spacing w:before="0" w:after="60"/>
        <w:ind w:left="432"/>
      </w:pPr>
      <w:r>
        <w:rPr>
          <w:color w:val="4A4A4A"/>
          <w:sz w:val="20"/>
        </w:rPr>
        <w:t>Company size — Startup / Scale-up / Enterprise (multiplier: 1.0× to 1.5×)</w:t>
      </w:r>
    </w:p>
    <w:p>
      <w:pPr>
        <w:pStyle w:val="ListNumber"/>
        <w:spacing w:before="0" w:after="60"/>
        <w:ind w:left="432"/>
      </w:pPr>
      <w:r>
        <w:rPr>
          <w:color w:val="4A4A4A"/>
          <w:sz w:val="20"/>
        </w:rPr>
        <w:t>Industry complexity — Standard / Regulated (fintech, health, legal) (1.0× to 1.3×)</w:t>
      </w:r>
    </w:p>
    <w:p>
      <w:pPr>
        <w:pStyle w:val="ListNumber"/>
        <w:spacing w:before="0" w:after="60"/>
        <w:ind w:left="432"/>
      </w:pPr>
      <w:r>
        <w:rPr>
          <w:color w:val="4A4A4A"/>
          <w:sz w:val="20"/>
        </w:rPr>
        <w:t>Deliverable depth — Lite / Standard / Comprehensive (1.0× to 1.6×)</w:t>
      </w:r>
    </w:p>
    <w:p>
      <w:pPr>
        <w:pStyle w:val="ListNumber"/>
        <w:spacing w:before="0" w:after="60"/>
        <w:ind w:left="432"/>
      </w:pPr>
      <w:r>
        <w:rPr>
          <w:color w:val="4A4A4A"/>
          <w:sz w:val="20"/>
        </w:rPr>
        <w:t>Revision rounds — 1 / 2 / 3+ (1.0× to 1.3×)</w:t>
      </w:r>
    </w:p>
    <w:p>
      <w:pPr>
        <w:pStyle w:val="ListNumber"/>
        <w:spacing w:before="0" w:after="60"/>
        <w:ind w:left="432"/>
      </w:pPr>
      <w:r>
        <w:rPr>
          <w:color w:val="4A4A4A"/>
          <w:sz w:val="20"/>
        </w:rPr>
        <w:t>Timeline — Standard / Accelerated (rush adds 25%)</w:t>
      </w:r>
    </w:p>
    <w:p>
      <w:pPr>
        <w:spacing w:before="0" w:after="120"/>
      </w:pPr>
      <w:r>
        <w:rPr>
          <w:color w:val="4A4A4A"/>
          <w:sz w:val="20"/>
        </w:rPr>
        <w:t>Output: three credit estimates — Low (floor), Recommended, High (ceiling). The strategist locks the Recommended figure before it flows into Credit Allocation.</w:t>
      </w:r>
    </w:p>
    <w:p>
      <w:pPr>
        <w:spacing w:before="120" w:after="200"/>
      </w:pPr>
      <w:r>
        <w:rPr>
          <w:color w:val="CCCCCC"/>
          <w:sz w:val="14"/>
        </w:rPr>
        <w:t>────────────────────────────────────────────────────────────────────────────────</w:t>
      </w:r>
    </w:p>
    <w:p>
      <w:pPr>
        <w:spacing w:before="360" w:after="40"/>
      </w:pPr>
      <w:r>
        <w:rPr>
          <w:rFonts w:ascii="Courier New" w:hAnsi="Courier New"/>
          <w:b/>
          <w:color w:val="C8E000"/>
          <w:sz w:val="18"/>
        </w:rPr>
        <w:t xml:space="preserve">STEP 2  </w:t>
      </w:r>
      <w:r>
        <w:rPr>
          <w:b/>
          <w:color w:val="1A1A1A"/>
          <w:sz w:val="28"/>
        </w:rPr>
        <w:t>INTAKE</w:t>
      </w:r>
    </w:p>
    <w:p>
      <w:pPr>
        <w:spacing w:before="0" w:after="160"/>
      </w:pPr>
      <w:r>
        <w:rPr>
          <w:i/>
          <w:color w:val="888888"/>
          <w:sz w:val="20"/>
        </w:rPr>
        <w:t>Onboarding Intake Wizard</w:t>
      </w:r>
    </w:p>
    <w:p>
      <w:pPr>
        <w:spacing w:before="0" w:after="120"/>
      </w:pPr>
      <w:r>
        <w:rPr>
          <w:color w:val="4A4A4A"/>
          <w:sz w:val="20"/>
        </w:rPr>
        <w:t>The Onboarding Intake replaces the traditional discovery call with a structured, systematic session — capturing everything the system needs in one sitting, in a format that flows directly into the Compounding Engine.</w:t>
      </w:r>
    </w:p>
    <w:p>
      <w:pPr>
        <w:spacing w:before="0" w:after="100"/>
      </w:pPr>
      <w:r>
        <w:rPr>
          <w:b/>
          <w:color w:val="1A1A1A"/>
          <w:sz w:val="20"/>
        </w:rPr>
        <w:t xml:space="preserve">Client mode. </w:t>
      </w:r>
      <w:r>
        <w:rPr>
          <w:color w:val="4A4A4A"/>
          <w:sz w:val="20"/>
        </w:rPr>
        <w:t>A clean, welcoming interface. No internal language, no scoring, no partner names. The client sees only questions and progress.</w:t>
      </w:r>
    </w:p>
    <w:p>
      <w:pPr>
        <w:spacing w:before="0" w:after="100"/>
      </w:pPr>
      <w:r>
        <w:rPr>
          <w:b/>
          <w:color w:val="1A1A1A"/>
          <w:sz w:val="20"/>
        </w:rPr>
        <w:t xml:space="preserve">Strategist mode. </w:t>
      </w:r>
      <w:r>
        <w:rPr>
          <w:color w:val="4A4A4A"/>
          <w:sz w:val="20"/>
        </w:rPr>
        <w:t>Overlaid on the same session. Reveals internal notes fields, 1–5 scoring buttons, and diagnostic prompts. The strategist scores and annotates in real time.</w:t>
      </w:r>
    </w:p>
    <w:p>
      <w:pPr>
        <w:spacing w:before="160" w:after="40"/>
      </w:pPr>
      <w:r>
        <w:rPr>
          <w:rFonts w:ascii="Courier New" w:hAnsi="Courier New"/>
          <w:b/>
          <w:color w:val="C8E000"/>
          <w:sz w:val="16"/>
        </w:rPr>
        <w:t>THE 7 SECTIONS</w:t>
      </w:r>
    </w:p>
    <w:p>
      <w:pPr>
        <w:spacing w:before="80" w:after="40"/>
        <w:ind w:left="288"/>
      </w:pPr>
      <w:r>
        <w:rPr>
          <w:b/>
          <w:color w:val="1A1A1A"/>
          <w:sz w:val="20"/>
        </w:rPr>
        <w:t xml:space="preserve">01 — The Business  </w:t>
      </w:r>
      <w:r>
        <w:rPr>
          <w:color w:val="4A4A4A"/>
          <w:sz w:val="20"/>
        </w:rPr>
        <w:t>Company name, industry, size, funding stage, and current market position. The baseline that contextualises everything downstream.</w:t>
      </w:r>
    </w:p>
    <w:p>
      <w:pPr>
        <w:spacing w:before="80" w:after="40"/>
        <w:ind w:left="288"/>
      </w:pPr>
      <w:r>
        <w:rPr>
          <w:b/>
          <w:color w:val="1A1A1A"/>
          <w:sz w:val="20"/>
        </w:rPr>
        <w:t xml:space="preserve">02 — Growth Goals  </w:t>
      </w:r>
      <w:r>
        <w:rPr>
          <w:color w:val="4A4A4A"/>
          <w:sz w:val="20"/>
        </w:rPr>
        <w:t>The client's primary objective (revenue, awareness, retention, market entry) and their 90-day priority. Becomes the "goal proximity" signal in the Compounding Engine.</w:t>
      </w:r>
    </w:p>
    <w:p>
      <w:pPr>
        <w:spacing w:before="80" w:after="40"/>
        <w:ind w:left="288"/>
      </w:pPr>
      <w:r>
        <w:rPr>
          <w:b/>
          <w:color w:val="1A1A1A"/>
          <w:sz w:val="20"/>
        </w:rPr>
        <w:t xml:space="preserve">03 — Where You Are Now  </w:t>
      </w:r>
      <w:r>
        <w:rPr>
          <w:color w:val="4A4A4A"/>
          <w:sz w:val="20"/>
        </w:rPr>
        <w:t>Current active channels, estimated monthly traffic, key frustrations, and current conversion rates. Seeds the initial channel mix in the Growth Dashboard.</w:t>
      </w:r>
    </w:p>
    <w:p>
      <w:pPr>
        <w:spacing w:before="80" w:after="40"/>
        <w:ind w:left="288"/>
      </w:pPr>
      <w:r>
        <w:rPr>
          <w:b/>
          <w:color w:val="1A1A1A"/>
          <w:sz w:val="20"/>
        </w:rPr>
        <w:t xml:space="preserve">04 — Your Audience  </w:t>
      </w:r>
      <w:r>
        <w:rPr>
          <w:color w:val="4A4A4A"/>
          <w:sz w:val="20"/>
        </w:rPr>
        <w:t>Target personas, buying behaviour, decision-makers, purchase triggers. Directly informs ICP definition and the messaging framework in the first playbook.</w:t>
      </w:r>
    </w:p>
    <w:p>
      <w:pPr>
        <w:spacing w:before="80" w:after="40"/>
        <w:ind w:left="288"/>
      </w:pPr>
      <w:r>
        <w:rPr>
          <w:b/>
          <w:color w:val="1A1A1A"/>
          <w:sz w:val="20"/>
        </w:rPr>
        <w:t xml:space="preserve">05 — Brand &amp; Voice  </w:t>
      </w:r>
      <w:r>
        <w:rPr>
          <w:color w:val="4A4A4A"/>
          <w:sz w:val="20"/>
        </w:rPr>
        <w:t>Personality tags (up to 4 from a library of 15), existing brand assets, tone guidelines, competitor references. Defines the voice brief guiding all creative and content output.</w:t>
      </w:r>
    </w:p>
    <w:p>
      <w:pPr>
        <w:spacing w:before="80" w:after="40"/>
        <w:ind w:left="288"/>
      </w:pPr>
      <w:r>
        <w:rPr>
          <w:b/>
          <w:color w:val="1A1A1A"/>
          <w:sz w:val="20"/>
        </w:rPr>
        <w:t xml:space="preserve">06 — Channels &amp; Budget  </w:t>
      </w:r>
      <w:r>
        <w:rPr>
          <w:color w:val="4A4A4A"/>
          <w:sz w:val="20"/>
        </w:rPr>
        <w:t>Priority channels, current ad spend, tools in use (CRM, analytics, automation), monthly marketing budget. Determines the starting credit tier recommendation.</w:t>
      </w:r>
    </w:p>
    <w:p>
      <w:pPr>
        <w:spacing w:before="80" w:after="40"/>
        <w:ind w:left="288"/>
      </w:pPr>
      <w:r>
        <w:rPr>
          <w:b/>
          <w:color w:val="1A1A1A"/>
          <w:sz w:val="20"/>
        </w:rPr>
        <w:t xml:space="preserve">07 — Working Together  </w:t>
      </w:r>
      <w:r>
        <w:rPr>
          <w:color w:val="4A4A4A"/>
          <w:sz w:val="20"/>
        </w:rPr>
        <w:t>Approval flow (single sign-off / committee), preferred feedback style, key contacts, communication cadence. Sets the engagement model correctly from day one.</w:t>
      </w:r>
    </w:p>
    <w:p>
      <w:pPr>
        <w:spacing w:before="160" w:after="40"/>
      </w:pPr>
      <w:r>
        <w:rPr>
          <w:rFonts w:ascii="Courier New" w:hAnsi="Courier New"/>
          <w:b/>
          <w:color w:val="C8E000"/>
          <w:sz w:val="16"/>
        </w:rPr>
        <w:t>OUTPUTS</w:t>
      </w:r>
    </w:p>
    <w:p>
      <w:pPr>
        <w:pStyle w:val="ListBullet"/>
        <w:spacing w:before="0" w:after="60"/>
        <w:ind w:left="432"/>
      </w:pPr>
      <w:r>
        <w:rPr>
          <w:color w:val="4A4A4A"/>
          <w:sz w:val="20"/>
        </w:rPr>
        <w:t>Printable summary — all sections compiled, one-click PDF/print</w:t>
      </w:r>
    </w:p>
    <w:p>
      <w:pPr>
        <w:pStyle w:val="ListBullet"/>
        <w:spacing w:before="0" w:after="60"/>
        <w:ind w:left="432"/>
      </w:pPr>
      <w:r>
        <w:rPr>
          <w:color w:val="4A4A4A"/>
          <w:sz w:val="20"/>
        </w:rPr>
        <w:t>Compounding Engine seed — intake data structured and passed directly into the first scoring run (no re-entry)</w:t>
      </w:r>
    </w:p>
    <w:p>
      <w:pPr>
        <w:pStyle w:val="ListBullet"/>
        <w:spacing w:before="0" w:after="60"/>
        <w:ind w:left="432"/>
      </w:pPr>
      <w:r>
        <w:rPr>
          <w:color w:val="4A4A4A"/>
          <w:sz w:val="20"/>
        </w:rPr>
        <w:t>Credit tier signal — based on Section 06 inputs; the strategist confirms before the first playbook is activated</w:t>
      </w:r>
    </w:p>
    <w:p>
      <w:pPr>
        <w:spacing w:before="0" w:after="120"/>
      </w:pPr>
      <w:r>
        <w:rPr>
          <w:color w:val="4A4A4A"/>
          <w:sz w:val="20"/>
        </w:rPr>
        <w:t>Live prototype: rubencollin.github.io/gritfuel-intakeform-example/</w:t>
      </w:r>
    </w:p>
    <w:p>
      <w:pPr>
        <w:spacing w:before="120" w:after="200"/>
      </w:pPr>
      <w:r>
        <w:rPr>
          <w:color w:val="CCCCCC"/>
          <w:sz w:val="14"/>
        </w:rPr>
        <w:t>────────────────────────────────────────────────────────────────────────────────</w:t>
      </w:r>
    </w:p>
    <w:p>
      <w:pPr>
        <w:spacing w:before="360" w:after="40"/>
      </w:pPr>
      <w:r>
        <w:rPr>
          <w:rFonts w:ascii="Courier New" w:hAnsi="Courier New"/>
          <w:b/>
          <w:color w:val="C8E000"/>
          <w:sz w:val="18"/>
        </w:rPr>
        <w:t xml:space="preserve">STEP 3  </w:t>
      </w:r>
      <w:r>
        <w:rPr>
          <w:b/>
          <w:color w:val="1A1A1A"/>
          <w:sz w:val="28"/>
        </w:rPr>
        <w:t>PLAYBOOK</w:t>
      </w:r>
    </w:p>
    <w:p>
      <w:pPr>
        <w:spacing w:before="0" w:after="160"/>
      </w:pPr>
      <w:r>
        <w:rPr>
          <w:i/>
          <w:color w:val="888888"/>
          <w:sz w:val="20"/>
        </w:rPr>
        <w:t>Monthly Growth Playbook</w:t>
      </w:r>
    </w:p>
    <w:p>
      <w:pPr>
        <w:spacing w:before="0" w:after="120"/>
      </w:pPr>
      <w:r>
        <w:rPr>
          <w:color w:val="4A4A4A"/>
          <w:sz w:val="20"/>
        </w:rPr>
        <w:t>The Monthly Growth Playbook is GritFuel's primary client-facing delivery document. It is produced at the start of each month and defines what will be executed, by whom, at what cost, and against which targets. It is an execution contract, not a strategy document.</w:t>
      </w:r>
    </w:p>
    <w:p>
      <w:pPr>
        <w:spacing w:before="160" w:after="40"/>
      </w:pPr>
      <w:r>
        <w:rPr>
          <w:rFonts w:ascii="Courier New" w:hAnsi="Courier New"/>
          <w:b/>
          <w:color w:val="C8E000"/>
          <w:sz w:val="16"/>
        </w:rPr>
        <w:t>ANATOMY OF A PLAYBOOK</w:t>
      </w:r>
    </w:p>
    <w:p>
      <w:pPr>
        <w:spacing w:before="0" w:after="100"/>
      </w:pPr>
      <w:r>
        <w:rPr>
          <w:b/>
          <w:color w:val="1A1A1A"/>
          <w:sz w:val="20"/>
        </w:rPr>
        <w:t xml:space="preserve">Month at a Glance. </w:t>
      </w:r>
      <w:r>
        <w:rPr>
          <w:color w:val="4A4A4A"/>
          <w:sz w:val="20"/>
        </w:rPr>
        <w:t>The month's focus theme, credits allocated, number of active initiatives, and any credits rolling over from the previous month.</w:t>
      </w:r>
    </w:p>
    <w:p>
      <w:pPr>
        <w:spacing w:before="0" w:after="100"/>
      </w:pPr>
      <w:r>
        <w:rPr>
          <w:b/>
          <w:color w:val="1A1A1A"/>
          <w:sz w:val="20"/>
        </w:rPr>
        <w:t xml:space="preserve">Credit Allocation Table. </w:t>
      </w:r>
      <w:r>
        <w:rPr>
          <w:color w:val="4A4A4A"/>
          <w:sz w:val="20"/>
        </w:rPr>
        <w:t>Every active initiative, the deliverables included, delivery partner (internal label only), credits and EUR value committed. Clients see initiative names and deliverables — not partner names.</w:t>
      </w:r>
    </w:p>
    <w:p>
      <w:pPr>
        <w:spacing w:before="0" w:after="100"/>
      </w:pPr>
      <w:r>
        <w:rPr>
          <w:b/>
          <w:color w:val="1A1A1A"/>
          <w:sz w:val="20"/>
        </w:rPr>
        <w:t xml:space="preserve">Performance Snapshot. </w:t>
      </w:r>
      <w:r>
        <w:rPr>
          <w:color w:val="4A4A4A"/>
          <w:sz w:val="20"/>
        </w:rPr>
        <w:t>Key metrics from the previous month vs. benchmark and prior period, with trend direction. The client's proof that last month happened and that the data is being read.</w:t>
      </w:r>
    </w:p>
    <w:p>
      <w:pPr>
        <w:spacing w:before="0" w:after="100"/>
      </w:pPr>
      <w:r>
        <w:rPr>
          <w:b/>
          <w:color w:val="1A1A1A"/>
          <w:sz w:val="20"/>
        </w:rPr>
        <w:t xml:space="preserve">Initiative Sections. </w:t>
      </w:r>
      <w:r>
        <w:rPr>
          <w:color w:val="4A4A4A"/>
          <w:sz w:val="20"/>
        </w:rPr>
        <w:t>Each active initiative contains: Objective (what and why now), Approach (how we'll execute), Deliverables table (item / format / week / status), and Success metrics (KPI / target / measurement method).</w:t>
      </w:r>
    </w:p>
    <w:p>
      <w:pPr>
        <w:spacing w:before="0" w:after="100"/>
      </w:pPr>
      <w:r>
        <w:rPr>
          <w:b/>
          <w:color w:val="1A1A1A"/>
          <w:sz w:val="20"/>
        </w:rPr>
        <w:t xml:space="preserve">Tone. </w:t>
      </w:r>
      <w:r>
        <w:rPr>
          <w:color w:val="4A4A4A"/>
          <w:sz w:val="20"/>
        </w:rPr>
        <w:t>"We build. We execute. We optimise." — not "we will explore opportunities."</w:t>
      </w:r>
    </w:p>
    <w:p>
      <w:pPr>
        <w:spacing w:before="0" w:after="100"/>
      </w:pPr>
      <w:r>
        <w:rPr>
          <w:b/>
          <w:color w:val="1A1A1A"/>
          <w:sz w:val="20"/>
        </w:rPr>
        <w:t xml:space="preserve">How the playbook is generated. </w:t>
      </w:r>
      <w:r>
        <w:rPr>
          <w:color w:val="4A4A4A"/>
          <w:sz w:val="20"/>
        </w:rPr>
        <w:t>Currently: drafted by the lead strategist using the Compounding Engine's recommendations as the brief. In production: the Engine outputs a structured recommendation set that pre-populates the playbook template — the strategist reviews, adjusts, and approves.</w:t>
      </w:r>
    </w:p>
    <w:p>
      <w:pPr>
        <w:spacing w:before="120" w:after="200"/>
      </w:pPr>
      <w:r>
        <w:rPr>
          <w:color w:val="CCCCCC"/>
          <w:sz w:val="14"/>
        </w:rPr>
        <w:t>────────────────────────────────────────────────────────────────────────────────</w:t>
      </w:r>
    </w:p>
    <w:p>
      <w:pPr>
        <w:spacing w:before="360" w:after="40"/>
      </w:pPr>
      <w:r>
        <w:rPr>
          <w:rFonts w:ascii="Courier New" w:hAnsi="Courier New"/>
          <w:b/>
          <w:color w:val="C8E000"/>
          <w:sz w:val="18"/>
        </w:rPr>
        <w:t xml:space="preserve">STEP 4A  </w:t>
      </w:r>
      <w:r>
        <w:rPr>
          <w:b/>
          <w:color w:val="1A1A1A"/>
          <w:sz w:val="28"/>
        </w:rPr>
        <w:t>TRACKING</w:t>
      </w:r>
    </w:p>
    <w:p>
      <w:pPr>
        <w:spacing w:before="0" w:after="160"/>
      </w:pPr>
      <w:r>
        <w:rPr>
          <w:i/>
          <w:color w:val="888888"/>
          <w:sz w:val="20"/>
        </w:rPr>
        <w:t>Growth Dashboard</w:t>
      </w:r>
    </w:p>
    <w:p>
      <w:pPr>
        <w:spacing w:before="0" w:after="120"/>
      </w:pPr>
      <w:r>
        <w:rPr>
          <w:color w:val="4A4A4A"/>
          <w:sz w:val="20"/>
        </w:rPr>
        <w:t>The Growth Dashboard is the single source of truth for every active client. It runs two parallel views inside one interface — one clean and client-safe, one internal and data-complete.</w:t>
      </w:r>
    </w:p>
    <w:p>
      <w:pPr>
        <w:spacing w:before="160" w:after="40"/>
      </w:pPr>
      <w:r>
        <w:rPr>
          <w:rFonts w:ascii="Courier New" w:hAnsi="Courier New"/>
          <w:b/>
          <w:color w:val="C8E000"/>
          <w:sz w:val="16"/>
        </w:rPr>
        <w:t>CLIENT TAB — WHAT THE CLIENT SEES</w:t>
      </w:r>
    </w:p>
    <w:p>
      <w:pPr>
        <w:pStyle w:val="ListBullet"/>
        <w:spacing w:before="0" w:after="60"/>
        <w:ind w:left="432"/>
      </w:pPr>
      <w:r>
        <w:rPr>
          <w:color w:val="4A4A4A"/>
          <w:sz w:val="20"/>
        </w:rPr>
        <w:t>4 KPI cards — Sessions, leads, revenue, conversion vs. last month with directional arrows</w:t>
      </w:r>
    </w:p>
    <w:p>
      <w:pPr>
        <w:pStyle w:val="ListBullet"/>
        <w:spacing w:before="0" w:after="60"/>
        <w:ind w:left="432"/>
      </w:pPr>
      <w:r>
        <w:rPr>
          <w:color w:val="4A4A4A"/>
          <w:sz w:val="20"/>
        </w:rPr>
        <w:t>Credit utilisation donut — live view of credits committed vs. monthly budget</w:t>
      </w:r>
    </w:p>
    <w:p>
      <w:pPr>
        <w:pStyle w:val="ListBullet"/>
        <w:spacing w:before="0" w:after="60"/>
        <w:ind w:left="432"/>
      </w:pPr>
      <w:r>
        <w:rPr>
          <w:color w:val="4A4A4A"/>
          <w:sz w:val="20"/>
        </w:rPr>
        <w:t>Initiative status cards — each active initiative with deliverable checklists, dependency flags, completion %</w:t>
      </w:r>
    </w:p>
    <w:p>
      <w:pPr>
        <w:pStyle w:val="ListBullet"/>
        <w:spacing w:before="0" w:after="60"/>
        <w:ind w:left="432"/>
      </w:pPr>
      <w:r>
        <w:rPr>
          <w:color w:val="4A4A4A"/>
          <w:sz w:val="20"/>
        </w:rPr>
        <w:t>6-month growth trend — dual-axis line chart: primary metric vs. credit spend</w:t>
      </w:r>
    </w:p>
    <w:p>
      <w:pPr>
        <w:pStyle w:val="ListBullet"/>
        <w:spacing w:before="0" w:after="60"/>
        <w:ind w:left="432"/>
      </w:pPr>
      <w:r>
        <w:rPr>
          <w:color w:val="4A4A4A"/>
          <w:sz w:val="20"/>
        </w:rPr>
        <w:t>Channel mix bar chart — traffic contribution per channel for the current month</w:t>
      </w:r>
    </w:p>
    <w:p>
      <w:pPr>
        <w:pStyle w:val="ListBullet"/>
        <w:spacing w:before="0" w:after="60"/>
        <w:ind w:left="432"/>
      </w:pPr>
      <w:r>
        <w:rPr>
          <w:color w:val="4A4A4A"/>
          <w:sz w:val="20"/>
        </w:rPr>
        <w:t>Next month preview — 3 recommended focus areas (sanitised language)</w:t>
      </w:r>
    </w:p>
    <w:p>
      <w:pPr>
        <w:spacing w:before="160" w:after="40"/>
      </w:pPr>
      <w:r>
        <w:rPr>
          <w:rFonts w:ascii="Courier New" w:hAnsi="Courier New"/>
          <w:b/>
          <w:color w:val="C8E000"/>
          <w:sz w:val="16"/>
        </w:rPr>
        <w:t>INTERNAL TAB — STRATEGISTS ONLY</w:t>
      </w:r>
    </w:p>
    <w:p>
      <w:pPr>
        <w:pStyle w:val="ListBullet"/>
        <w:spacing w:before="0" w:after="60"/>
        <w:ind w:left="432"/>
      </w:pPr>
      <w:r>
        <w:rPr>
          <w:color w:val="4A4A4A"/>
          <w:sz w:val="20"/>
        </w:rPr>
        <w:t>Revenue summary strip — gross credit value, partner cost, and GritFuel margin per client per month</w:t>
      </w:r>
    </w:p>
    <w:p>
      <w:pPr>
        <w:pStyle w:val="ListBullet"/>
        <w:spacing w:before="0" w:after="60"/>
        <w:ind w:left="432"/>
      </w:pPr>
      <w:r>
        <w:rPr>
          <w:color w:val="4A4A4A"/>
          <w:sz w:val="20"/>
        </w:rPr>
        <w:t>Partner routing table — who is handling what, colour-coded by partner (never visible to clients)</w:t>
      </w:r>
    </w:p>
    <w:p>
      <w:pPr>
        <w:pStyle w:val="ListBullet"/>
        <w:spacing w:before="0" w:after="60"/>
        <w:ind w:left="432"/>
      </w:pPr>
      <w:r>
        <w:rPr>
          <w:color w:val="4A4A4A"/>
          <w:sz w:val="20"/>
        </w:rPr>
        <w:t>Full channel metrics — channel-by-channel performance table with MoM deltas</w:t>
      </w:r>
    </w:p>
    <w:p>
      <w:pPr>
        <w:pStyle w:val="ListBullet"/>
        <w:spacing w:before="0" w:after="60"/>
        <w:ind w:left="432"/>
      </w:pPr>
      <w:r>
        <w:rPr>
          <w:color w:val="4A4A4A"/>
          <w:sz w:val="20"/>
        </w:rPr>
        <w:t>Next playbook credit recommendation — generated by the Compounding Engine</w:t>
      </w:r>
    </w:p>
    <w:p>
      <w:pPr>
        <w:pStyle w:val="ListBullet"/>
        <w:spacing w:before="0" w:after="60"/>
        <w:ind w:left="432"/>
      </w:pPr>
      <w:r>
        <w:rPr>
          <w:color w:val="4A4A4A"/>
          <w:sz w:val="20"/>
        </w:rPr>
        <w:t>Dependency and risk flags — items blocking progression to the next initiative tier</w:t>
      </w:r>
    </w:p>
    <w:p>
      <w:pPr>
        <w:spacing w:before="0" w:after="100"/>
      </w:pPr>
      <w:r>
        <w:rPr>
          <w:b/>
          <w:color w:val="1A1A1A"/>
          <w:sz w:val="20"/>
        </w:rPr>
        <w:t xml:space="preserve">How it connects downstream. </w:t>
      </w:r>
      <w:r>
        <w:rPr>
          <w:color w:val="4A4A4A"/>
          <w:sz w:val="20"/>
        </w:rPr>
        <w:t>The dashboard is the data source for the Compounding Engine. At month-end, the strategist closes the month. Channel metrics, credit spend, and initiative completion rates are locked. The Engine reads these values and produces next month's recommendations.</w:t>
      </w:r>
    </w:p>
    <w:p>
      <w:pPr>
        <w:spacing w:before="120" w:after="200"/>
      </w:pPr>
      <w:r>
        <w:rPr>
          <w:color w:val="CCCCCC"/>
          <w:sz w:val="14"/>
        </w:rPr>
        <w:t>────────────────────────────────────────────────────────────────────────────────</w:t>
      </w:r>
    </w:p>
    <w:p>
      <w:pPr>
        <w:spacing w:before="360" w:after="40"/>
      </w:pPr>
      <w:r>
        <w:rPr>
          <w:rFonts w:ascii="Courier New" w:hAnsi="Courier New"/>
          <w:b/>
          <w:color w:val="C8E000"/>
          <w:sz w:val="18"/>
        </w:rPr>
        <w:t xml:space="preserve">STEP 4B  </w:t>
      </w:r>
      <w:r>
        <w:rPr>
          <w:b/>
          <w:color w:val="1A1A1A"/>
          <w:sz w:val="28"/>
        </w:rPr>
        <w:t>ROUTING</w:t>
      </w:r>
    </w:p>
    <w:p>
      <w:pPr>
        <w:spacing w:before="0" w:after="160"/>
      </w:pPr>
      <w:r>
        <w:rPr>
          <w:i/>
          <w:color w:val="888888"/>
          <w:sz w:val="20"/>
        </w:rPr>
        <w:t>Escalation &amp; Handoff Router</w:t>
      </w:r>
    </w:p>
    <w:p>
      <w:pPr>
        <w:spacing w:before="0" w:after="120"/>
      </w:pPr>
      <w:r>
        <w:rPr>
          <w:color w:val="4A4A4A"/>
          <w:sz w:val="20"/>
        </w:rPr>
        <w:t>When a brief arrives, the Router decides who handles it and at what escalation level. It generates two versions simultaneously: one internal (naming all partners) and one client-safe (role descriptions only).</w:t>
      </w:r>
    </w:p>
    <w:p>
      <w:pPr>
        <w:spacing w:before="160" w:after="40"/>
      </w:pPr>
      <w:r>
        <w:rPr>
          <w:rFonts w:ascii="Courier New" w:hAnsi="Courier New"/>
          <w:b/>
          <w:color w:val="C8E000"/>
          <w:sz w:val="16"/>
        </w:rPr>
        <w:t>THE FOUR ROUTING INPUTS</w:t>
      </w:r>
    </w:p>
    <w:p>
      <w:pPr>
        <w:spacing w:before="80" w:after="40"/>
        <w:ind w:left="288"/>
      </w:pPr>
      <w:r>
        <w:rPr>
          <w:b/>
          <w:color w:val="1A1A1A"/>
          <w:sz w:val="20"/>
        </w:rPr>
        <w:t xml:space="preserve">1. Service Category (19 tags)  </w:t>
      </w:r>
      <w:r>
        <w:rPr>
          <w:color w:val="4A4A4A"/>
          <w:sz w:val="20"/>
        </w:rPr>
        <w:t>Each tag is pre-weighted to a default partner. Content/SEO/PR/Social/Email → GritFuel (+30). Paid media/performance → Bluegyfu (+35). Brand strategy/creative/identity → .frank (+40). Events/activations → BFL (+50). GritFuel starts every brief at a baseline score of 50.</w:t>
      </w:r>
    </w:p>
    <w:p>
      <w:pPr>
        <w:spacing w:before="80" w:after="40"/>
        <w:ind w:left="288"/>
      </w:pPr>
      <w:r>
        <w:rPr>
          <w:b/>
          <w:color w:val="1A1A1A"/>
          <w:sz w:val="20"/>
        </w:rPr>
        <w:t xml:space="preserve">2. Complexity Flags (8 checkboxes)  </w:t>
      </w:r>
      <w:r>
        <w:rPr>
          <w:color w:val="4A4A4A"/>
          <w:sz w:val="20"/>
        </w:rPr>
        <w:t>Multi-market, regulatory requirements, tech build needed, specialist creative direction, physical production, advanced martech, budget &gt;€50k, workshop/facilitation. Each flag adds score to the relevant specialist partner.</w:t>
      </w:r>
    </w:p>
    <w:p>
      <w:pPr>
        <w:spacing w:before="80" w:after="40"/>
        <w:ind w:left="288"/>
      </w:pPr>
      <w:r>
        <w:rPr>
          <w:b/>
          <w:color w:val="1A1A1A"/>
          <w:sz w:val="20"/>
        </w:rPr>
        <w:t xml:space="preserve">3. Client Signals (7 cues)  </w:t>
      </w:r>
      <w:r>
        <w:rPr>
          <w:color w:val="4A4A4A"/>
          <w:sz w:val="20"/>
        </w:rPr>
        <w:t>Churn risk, growth moment, exec escalation request, dissatisfaction with output, new market entry, paid media expansion, request for strategic alignment session.</w:t>
      </w:r>
    </w:p>
    <w:p>
      <w:pPr>
        <w:spacing w:before="80" w:after="40"/>
        <w:ind w:left="288"/>
      </w:pPr>
      <w:r>
        <w:rPr>
          <w:b/>
          <w:color w:val="1A1A1A"/>
          <w:sz w:val="20"/>
        </w:rPr>
        <w:t xml:space="preserve">4. Compound Score Trigger  </w:t>
      </w:r>
      <w:r>
        <w:rPr>
          <w:color w:val="4A4A4A"/>
          <w:sz w:val="20"/>
        </w:rPr>
        <w:t>A PIVOT score (0–34) triggers automatic escalation to senior strategy. An ACCELERATE score (75–100) means GritFuel may handle the full brief without specialist involvement.</w:t>
      </w:r>
    </w:p>
    <w:p>
      <w:pPr>
        <w:spacing w:before="160" w:after="40"/>
      </w:pPr>
      <w:r>
        <w:rPr>
          <w:rFonts w:ascii="Courier New" w:hAnsi="Courier New"/>
          <w:b/>
          <w:color w:val="C8E000"/>
          <w:sz w:val="16"/>
        </w:rPr>
        <w:t>ESCALATION LEVELS</w:t>
      </w:r>
    </w:p>
    <w:p>
      <w:pPr>
        <w:spacing w:before="40" w:after="40"/>
        <w:ind w:left="432"/>
      </w:pPr>
      <w:r>
        <w:rPr>
          <w:b/>
          <w:color w:val="1A1A1A"/>
          <w:sz w:val="20"/>
        </w:rPr>
        <w:t xml:space="preserve">None  </w:t>
      </w:r>
      <w:r>
        <w:rPr>
          <w:color w:val="4A4A4A"/>
          <w:sz w:val="20"/>
        </w:rPr>
        <w:t>GritFuel handles in full. No specialist involvement.</w:t>
      </w:r>
    </w:p>
    <w:p>
      <w:pPr>
        <w:spacing w:before="40" w:after="40"/>
        <w:ind w:left="432"/>
      </w:pPr>
      <w:r>
        <w:rPr>
          <w:b/>
          <w:color w:val="1A1A1A"/>
          <w:sz w:val="20"/>
        </w:rPr>
        <w:t xml:space="preserve">Soft Handoff  </w:t>
      </w:r>
      <w:r>
        <w:rPr>
          <w:color w:val="4A4A4A"/>
          <w:sz w:val="20"/>
        </w:rPr>
        <w:t>A specialist partner contributes. GritFuel remains primary contact.</w:t>
      </w:r>
    </w:p>
    <w:p>
      <w:pPr>
        <w:spacing w:before="40" w:after="40"/>
        <w:ind w:left="432"/>
      </w:pPr>
      <w:r>
        <w:rPr>
          <w:b/>
          <w:color w:val="1A1A1A"/>
          <w:sz w:val="20"/>
        </w:rPr>
        <w:t xml:space="preserve">Full Escalation  </w:t>
      </w:r>
      <w:r>
        <w:rPr>
          <w:color w:val="4A4A4A"/>
          <w:sz w:val="20"/>
        </w:rPr>
        <w:t>Specialist partner leads delivery. GritFuel coordinates and client-faces.</w:t>
      </w:r>
    </w:p>
    <w:p>
      <w:pPr>
        <w:spacing w:before="40" w:after="40"/>
        <w:ind w:left="432"/>
      </w:pPr>
      <w:r>
        <w:rPr>
          <w:b/>
          <w:color w:val="1A1A1A"/>
          <w:sz w:val="20"/>
        </w:rPr>
        <w:t xml:space="preserve">Multi-Partner  </w:t>
      </w:r>
      <w:r>
        <w:rPr>
          <w:color w:val="4A4A4A"/>
          <w:sz w:val="20"/>
        </w:rPr>
        <w:t>Two or more partners involved. Joint brief and credit split produced.</w:t>
      </w:r>
    </w:p>
    <w:p>
      <w:pPr>
        <w:spacing w:before="0" w:after="120"/>
      </w:pPr>
      <w:r>
        <w:rPr>
          <w:color w:val="4A4A4A"/>
          <w:sz w:val="20"/>
        </w:rPr>
        <w:t>Live prototype: rubencollin.github.io/gritfuel-escalation-router/</w:t>
      </w:r>
    </w:p>
    <w:p>
      <w:pPr>
        <w:spacing w:before="120" w:after="200"/>
      </w:pPr>
      <w:r>
        <w:rPr>
          <w:color w:val="CCCCCC"/>
          <w:sz w:val="14"/>
        </w:rPr>
        <w:t>────────────────────────────────────────────────────────────────────────────────</w:t>
      </w:r>
    </w:p>
    <w:p>
      <w:pPr>
        <w:spacing w:before="360" w:after="40"/>
      </w:pPr>
      <w:r>
        <w:rPr>
          <w:rFonts w:ascii="Courier New" w:hAnsi="Courier New"/>
          <w:b/>
          <w:color w:val="C8E000"/>
          <w:sz w:val="18"/>
        </w:rPr>
        <w:t xml:space="preserve">STEP 4C  </w:t>
      </w:r>
      <w:r>
        <w:rPr>
          <w:b/>
          <w:color w:val="1A1A1A"/>
          <w:sz w:val="28"/>
        </w:rPr>
        <w:t>ALLOCATION</w:t>
      </w:r>
    </w:p>
    <w:p>
      <w:pPr>
        <w:spacing w:before="0" w:after="160"/>
      </w:pPr>
      <w:r>
        <w:rPr>
          <w:i/>
          <w:color w:val="888888"/>
          <w:sz w:val="20"/>
        </w:rPr>
        <w:t>Dynamic Credit Allocation</w:t>
      </w:r>
    </w:p>
    <w:p>
      <w:pPr>
        <w:spacing w:before="0" w:after="120"/>
      </w:pPr>
      <w:r>
        <w:rPr>
          <w:color w:val="4A4A4A"/>
          <w:sz w:val="20"/>
        </w:rPr>
        <w:t>The Credit Allocation tool manages the live distribution of monthly credits across active initiatives, supports mid-month reallocation, and exports both internal and client-facing allocation briefs.</w:t>
      </w:r>
    </w:p>
    <w:p>
      <w:pPr>
        <w:spacing w:before="160" w:after="40"/>
      </w:pPr>
      <w:r>
        <w:rPr>
          <w:rFonts w:ascii="Courier New" w:hAnsi="Courier New"/>
          <w:b/>
          <w:color w:val="C8E000"/>
          <w:sz w:val="16"/>
        </w:rPr>
        <w:t>CORE CAPABILITIES</w:t>
      </w:r>
    </w:p>
    <w:p>
      <w:pPr>
        <w:spacing w:before="0" w:after="100"/>
      </w:pPr>
      <w:r>
        <w:rPr>
          <w:b/>
          <w:color w:val="1A1A1A"/>
          <w:sz w:val="20"/>
        </w:rPr>
        <w:t xml:space="preserve">Initiative management. </w:t>
      </w:r>
      <w:r>
        <w:rPr>
          <w:color w:val="4A4A4A"/>
          <w:sz w:val="20"/>
        </w:rPr>
        <w:t>Add from 13 playbook presets or enter custom initiatives. Assign partner, tier, credit count.</w:t>
      </w:r>
    </w:p>
    <w:p>
      <w:pPr>
        <w:spacing w:before="0" w:after="100"/>
      </w:pPr>
      <w:r>
        <w:rPr>
          <w:b/>
          <w:color w:val="1A1A1A"/>
          <w:sz w:val="20"/>
        </w:rPr>
        <w:t xml:space="preserve">Credit spinners. </w:t>
      </w:r>
      <w:r>
        <w:rPr>
          <w:color w:val="4A4A4A"/>
          <w:sz w:val="20"/>
        </w:rPr>
        <w:t>Increment or direct-input credits per initiative. Every credit shows its €25 equivalent in real time.</w:t>
      </w:r>
    </w:p>
    <w:p>
      <w:pPr>
        <w:spacing w:before="0" w:after="100"/>
      </w:pPr>
      <w:r>
        <w:rPr>
          <w:b/>
          <w:color w:val="1A1A1A"/>
          <w:sz w:val="20"/>
        </w:rPr>
        <w:t xml:space="preserve">Lock and protect. </w:t>
      </w:r>
      <w:r>
        <w:rPr>
          <w:color w:val="4A4A4A"/>
          <w:sz w:val="20"/>
        </w:rPr>
        <w:t>Lock confirmed allocations to prevent accidental edits during mid-month changes.</w:t>
      </w:r>
    </w:p>
    <w:p>
      <w:pPr>
        <w:spacing w:before="0" w:after="100"/>
      </w:pPr>
      <w:r>
        <w:rPr>
          <w:b/>
          <w:color w:val="1A1A1A"/>
          <w:sz w:val="20"/>
        </w:rPr>
        <w:t xml:space="preserve">Auto-balance. </w:t>
      </w:r>
      <w:r>
        <w:rPr>
          <w:color w:val="4A4A4A"/>
          <w:sz w:val="20"/>
        </w:rPr>
        <w:t>One click distributes remaining credits equally across active, unlocked initiatives.</w:t>
      </w:r>
    </w:p>
    <w:p>
      <w:pPr>
        <w:spacing w:before="0" w:after="100"/>
      </w:pPr>
      <w:r>
        <w:rPr>
          <w:b/>
          <w:color w:val="1A1A1A"/>
          <w:sz w:val="20"/>
        </w:rPr>
        <w:t xml:space="preserve">Status cycling. </w:t>
      </w:r>
      <w:r>
        <w:rPr>
          <w:color w:val="4A4A4A"/>
          <w:sz w:val="20"/>
        </w:rPr>
        <w:t>Active / Paused / Complete. Paused credits return to unallocated pool immediately.</w:t>
      </w:r>
    </w:p>
    <w:p>
      <w:pPr>
        <w:spacing w:before="0" w:after="100"/>
      </w:pPr>
      <w:r>
        <w:rPr>
          <w:b/>
          <w:color w:val="1A1A1A"/>
          <w:sz w:val="20"/>
        </w:rPr>
        <w:t xml:space="preserve">Mid-month mode. </w:t>
      </w:r>
      <w:r>
        <w:rPr>
          <w:color w:val="4A4A4A"/>
          <w:sz w:val="20"/>
        </w:rPr>
        <w:t>Delta indicators show exactly what has changed from the original monthly plan.</w:t>
      </w:r>
    </w:p>
    <w:p>
      <w:pPr>
        <w:spacing w:before="160" w:after="40"/>
      </w:pPr>
      <w:r>
        <w:rPr>
          <w:rFonts w:ascii="Courier New" w:hAnsi="Courier New"/>
          <w:b/>
          <w:color w:val="C8E000"/>
          <w:sz w:val="16"/>
        </w:rPr>
        <w:t>EXPORT OUTPUTS</w:t>
      </w:r>
    </w:p>
    <w:p>
      <w:pPr>
        <w:pStyle w:val="ListBullet"/>
        <w:spacing w:before="0" w:after="60"/>
        <w:ind w:left="432"/>
      </w:pPr>
      <w:r>
        <w:rPr>
          <w:color w:val="4A4A4A"/>
          <w:sz w:val="20"/>
        </w:rPr>
        <w:t>Internal brief — full allocation with partner names, lock status, delta tracking, partner totals</w:t>
      </w:r>
    </w:p>
    <w:p>
      <w:pPr>
        <w:pStyle w:val="ListBullet"/>
        <w:spacing w:before="0" w:after="60"/>
        <w:ind w:left="432"/>
      </w:pPr>
      <w:r>
        <w:rPr>
          <w:color w:val="4A4A4A"/>
          <w:sz w:val="20"/>
        </w:rPr>
        <w:t>Client brief — sanitised: partner names replaced with role descriptions. Safe to share directly.</w:t>
      </w:r>
    </w:p>
    <w:p>
      <w:pPr>
        <w:spacing w:before="0" w:after="100"/>
      </w:pPr>
      <w:r>
        <w:rPr>
          <w:b/>
          <w:color w:val="1A1A1A"/>
          <w:sz w:val="20"/>
        </w:rPr>
        <w:t xml:space="preserve">Closing the loop. </w:t>
      </w:r>
      <w:r>
        <w:rPr>
          <w:color w:val="4A4A4A"/>
          <w:sz w:val="20"/>
        </w:rPr>
        <w:t>At month-end, the finalised allocation brief feeds back into the Growth Dashboard, completing the monthly cycle. The Compounding Engine reads this data as its credit efficiency signal for the following month.</w:t>
      </w:r>
    </w:p>
    <w:p>
      <w:pPr>
        <w:spacing w:before="0" w:after="120"/>
      </w:pPr>
      <w:r>
        <w:rPr>
          <w:color w:val="4A4A4A"/>
          <w:sz w:val="20"/>
        </w:rPr>
        <w:t>Live prototype: rubencollin.github.io/gritfuel-credit-allocation/</w:t>
      </w:r>
    </w:p>
    <w:p>
      <w:pPr>
        <w:spacing w:before="120" w:after="200"/>
      </w:pPr>
      <w:r>
        <w:rPr>
          <w:color w:val="CCCCCC"/>
          <w:sz w:val="14"/>
        </w:rPr>
        <w:t>────────────────────────────────────────────────────────────────────────────────</w:t>
      </w:r>
    </w:p>
    <w:p>
      <w:pPr>
        <w:spacing w:before="360" w:after="40"/>
      </w:pPr>
      <w:r>
        <w:rPr>
          <w:rFonts w:ascii="Courier New" w:hAnsi="Courier New"/>
          <w:b/>
          <w:color w:val="C8E000"/>
          <w:sz w:val="18"/>
        </w:rPr>
        <w:t xml:space="preserve">STEP 5  </w:t>
      </w:r>
      <w:r>
        <w:rPr>
          <w:b/>
          <w:color w:val="1A1A1A"/>
          <w:sz w:val="28"/>
        </w:rPr>
        <w:t>COMPOUNDING</w:t>
      </w:r>
    </w:p>
    <w:p>
      <w:pPr>
        <w:spacing w:before="0" w:after="160"/>
      </w:pPr>
      <w:r>
        <w:rPr>
          <w:i/>
          <w:color w:val="888888"/>
          <w:sz w:val="20"/>
        </w:rPr>
        <w:t>Compounding Engine</w:t>
      </w:r>
    </w:p>
    <w:p>
      <w:pPr>
        <w:spacing w:before="0" w:after="120"/>
      </w:pPr>
      <w:r>
        <w:rPr>
          <w:color w:val="4A4A4A"/>
          <w:sz w:val="20"/>
        </w:rPr>
        <w:t>The Compounding Engine is the intelligence layer of the GritFuel OS. It reads the current month's dashboard data and produces a Compound Score (0–100) plus a ranked list of initiative recommendations for the following month. Every month the system runs, the analysis gets sharper.</w:t>
      </w:r>
    </w:p>
    <w:p>
      <w:pPr>
        <w:spacing w:before="160" w:after="40"/>
      </w:pPr>
      <w:r>
        <w:rPr>
          <w:rFonts w:ascii="Courier New" w:hAnsi="Courier New"/>
          <w:b/>
          <w:color w:val="C8E000"/>
          <w:sz w:val="16"/>
        </w:rPr>
        <w:t>THE FOUR SIGNALS</w:t>
      </w:r>
    </w:p>
    <w:p>
      <w:pPr>
        <w:spacing w:before="120" w:after="20"/>
        <w:ind w:left="288"/>
      </w:pPr>
      <w:r>
        <w:rPr>
          <w:b/>
          <w:color w:val="1A1A1A"/>
          <w:sz w:val="20"/>
        </w:rPr>
        <w:t xml:space="preserve">Channel Momentum  </w:t>
      </w:r>
      <w:r>
        <w:rPr>
          <w:color w:val="C8E000"/>
          <w:sz w:val="18"/>
        </w:rPr>
        <w:t>30% weight</w:t>
      </w:r>
    </w:p>
    <w:p>
      <w:pPr>
        <w:spacing w:before="0" w:after="80"/>
        <w:ind w:left="576"/>
      </w:pPr>
      <w:r>
        <w:rPr>
          <w:color w:val="4A4A4A"/>
          <w:sz w:val="20"/>
        </w:rPr>
        <w:t>Measures MoM growth per active channel. Fast-growing channels receive more weight. Stagnant channels are flagged for review or reallocation. A channel growing consistently for 3 months triggers an "Accelerate" recommendation.</w:t>
      </w:r>
    </w:p>
    <w:p>
      <w:pPr>
        <w:spacing w:before="120" w:after="20"/>
        <w:ind w:left="288"/>
      </w:pPr>
      <w:r>
        <w:rPr>
          <w:b/>
          <w:color w:val="1A1A1A"/>
          <w:sz w:val="20"/>
        </w:rPr>
        <w:t xml:space="preserve">Goal Proximity  </w:t>
      </w:r>
      <w:r>
        <w:rPr>
          <w:color w:val="C8E000"/>
          <w:sz w:val="18"/>
        </w:rPr>
        <w:t>25% weight</w:t>
      </w:r>
    </w:p>
    <w:p>
      <w:pPr>
        <w:spacing w:before="0" w:after="80"/>
        <w:ind w:left="576"/>
      </w:pPr>
      <w:r>
        <w:rPr>
          <w:color w:val="4A4A4A"/>
          <w:sz w:val="20"/>
        </w:rPr>
        <w:t>Distance between the client's current primary metric and their stated intake target. Close to goal → sustain. Far from target → rebalance credit mix or broaden channel strategy.</w:t>
      </w:r>
    </w:p>
    <w:p>
      <w:pPr>
        <w:spacing w:before="120" w:after="20"/>
        <w:ind w:left="288"/>
      </w:pPr>
      <w:r>
        <w:rPr>
          <w:b/>
          <w:color w:val="1A1A1A"/>
          <w:sz w:val="20"/>
        </w:rPr>
        <w:t xml:space="preserve">Credit Efficiency  </w:t>
      </w:r>
      <w:r>
        <w:rPr>
          <w:color w:val="C8E000"/>
          <w:sz w:val="18"/>
        </w:rPr>
        <w:t>25% weight</w:t>
      </w:r>
    </w:p>
    <w:p>
      <w:pPr>
        <w:spacing w:before="0" w:after="80"/>
        <w:ind w:left="576"/>
      </w:pPr>
      <w:r>
        <w:rPr>
          <w:color w:val="4A4A4A"/>
          <w:sz w:val="20"/>
        </w:rPr>
        <w:t>Output growth generated per credit spent, per channel. Identifies highest- and lowest-return credit deployments. Consistently low-efficiency channels trigger deprioritisation recommendations.</w:t>
      </w:r>
    </w:p>
    <w:p>
      <w:pPr>
        <w:spacing w:before="120" w:after="20"/>
        <w:ind w:left="288"/>
      </w:pPr>
      <w:r>
        <w:rPr>
          <w:b/>
          <w:color w:val="1A1A1A"/>
          <w:sz w:val="20"/>
        </w:rPr>
        <w:t xml:space="preserve">Dependency Sequencing  </w:t>
      </w:r>
      <w:r>
        <w:rPr>
          <w:color w:val="C8E000"/>
          <w:sz w:val="18"/>
        </w:rPr>
        <w:t>20% weight</w:t>
      </w:r>
    </w:p>
    <w:p>
      <w:pPr>
        <w:spacing w:before="0" w:after="80"/>
        <w:ind w:left="576"/>
      </w:pPr>
      <w:r>
        <w:rPr>
          <w:color w:val="4A4A4A"/>
          <w:sz w:val="20"/>
        </w:rPr>
        <w:t>Tracks which of 12 milestones across 3 tiers have been completed. Tier 1 foundations must be complete before Tier 2 initiatives unlock. Tier 3 (PR authority, paid scale, lead scoring, event campaigns) only unlocks when all Tier 2 milestones are complete.</w:t>
      </w:r>
    </w:p>
    <w:p>
      <w:pPr>
        <w:spacing w:before="160" w:after="40"/>
      </w:pPr>
      <w:r>
        <w:rPr>
          <w:rFonts w:ascii="Courier New" w:hAnsi="Courier New"/>
          <w:b/>
          <w:color w:val="C8E000"/>
          <w:sz w:val="16"/>
        </w:rPr>
        <w:t>COMPOUND SCORE → STRATEGY</w:t>
      </w:r>
    </w:p>
    <w:p>
      <w:pPr>
        <w:spacing w:before="40" w:after="40"/>
        <w:ind w:left="432"/>
      </w:pPr>
      <w:r>
        <w:rPr>
          <w:rFonts w:ascii="Courier New" w:hAnsi="Courier New"/>
          <w:color w:val="888888"/>
          <w:sz w:val="18"/>
        </w:rPr>
        <w:t xml:space="preserve">75–100    </w:t>
      </w:r>
      <w:r>
        <w:rPr>
          <w:rFonts w:ascii="Courier New" w:hAnsi="Courier New"/>
          <w:b/>
          <w:color w:val="1A1A1A"/>
          <w:sz w:val="18"/>
        </w:rPr>
        <w:t xml:space="preserve">ACCELERATE    </w:t>
      </w:r>
      <w:r>
        <w:rPr>
          <w:color w:val="4A4A4A"/>
          <w:sz w:val="18"/>
        </w:rPr>
        <w:t>Double down. Push credits into top-performing channels.</w:t>
      </w:r>
    </w:p>
    <w:p>
      <w:pPr>
        <w:spacing w:before="40" w:after="40"/>
        <w:ind w:left="432"/>
      </w:pPr>
      <w:r>
        <w:rPr>
          <w:rFonts w:ascii="Courier New" w:hAnsi="Courier New"/>
          <w:color w:val="888888"/>
          <w:sz w:val="18"/>
        </w:rPr>
        <w:t xml:space="preserve">55–74     </w:t>
      </w:r>
      <w:r>
        <w:rPr>
          <w:rFonts w:ascii="Courier New" w:hAnsi="Courier New"/>
          <w:b/>
          <w:color w:val="1A1A1A"/>
          <w:sz w:val="18"/>
        </w:rPr>
        <w:t xml:space="preserve">MAINTAIN      </w:t>
      </w:r>
      <w:r>
        <w:rPr>
          <w:color w:val="4A4A4A"/>
          <w:sz w:val="18"/>
        </w:rPr>
        <w:t>Hold course. Optimise efficiency within current channel mix.</w:t>
      </w:r>
    </w:p>
    <w:p>
      <w:pPr>
        <w:spacing w:before="40" w:after="40"/>
        <w:ind w:left="432"/>
      </w:pPr>
      <w:r>
        <w:rPr>
          <w:rFonts w:ascii="Courier New" w:hAnsi="Courier New"/>
          <w:color w:val="888888"/>
          <w:sz w:val="18"/>
        </w:rPr>
        <w:t xml:space="preserve">35–54     </w:t>
      </w:r>
      <w:r>
        <w:rPr>
          <w:rFonts w:ascii="Courier New" w:hAnsi="Courier New"/>
          <w:b/>
          <w:color w:val="1A1A1A"/>
          <w:sz w:val="18"/>
        </w:rPr>
        <w:t xml:space="preserve">REBALANCE     </w:t>
      </w:r>
      <w:r>
        <w:rPr>
          <w:color w:val="4A4A4A"/>
          <w:sz w:val="18"/>
        </w:rPr>
        <w:t>Shift credits from underperformers. Test adjacent channels.</w:t>
      </w:r>
    </w:p>
    <w:p>
      <w:pPr>
        <w:spacing w:before="40" w:after="40"/>
        <w:ind w:left="432"/>
      </w:pPr>
      <w:r>
        <w:rPr>
          <w:rFonts w:ascii="Courier New" w:hAnsi="Courier New"/>
          <w:color w:val="888888"/>
          <w:sz w:val="18"/>
        </w:rPr>
        <w:t xml:space="preserve">0–34      </w:t>
      </w:r>
      <w:r>
        <w:rPr>
          <w:rFonts w:ascii="Courier New" w:hAnsi="Courier New"/>
          <w:b/>
          <w:color w:val="1A1A1A"/>
          <w:sz w:val="18"/>
        </w:rPr>
        <w:t xml:space="preserve">PIVOT         </w:t>
      </w:r>
      <w:r>
        <w:rPr>
          <w:color w:val="4A4A4A"/>
          <w:sz w:val="18"/>
        </w:rPr>
        <w:t>Fundamental rethink required. Escalate to senior strategy.</w:t>
      </w:r>
    </w:p>
    <w:p>
      <w:pPr>
        <w:spacing w:before="0" w:after="120"/>
      </w:pPr>
      <w:r>
        <w:rPr>
          <w:color w:val="4A4A4A"/>
          <w:sz w:val="20"/>
        </w:rPr>
        <w:t>The compounding effect: Month 1 runs on intake data only. Month 6 has a 6-month trend line, milestone completion history, credit efficiency ratios, and goal proximity trajectory. Recommendations become progressively more accurate. This is the core IP: a delivery system that gets better automatically, without adding headcount.</w:t>
      </w:r>
    </w:p>
    <w:p>
      <w:pPr>
        <w:spacing w:before="0" w:after="120"/>
      </w:pPr>
      <w:r>
        <w:rPr>
          <w:color w:val="4A4A4A"/>
          <w:sz w:val="20"/>
        </w:rPr>
        <w:t>Live prototype: rubencollin.github.io/gritfuel-compounding-process/</w:t>
      </w:r>
    </w:p>
    <w:p>
      <w:r>
        <w:br w:type="page"/>
      </w:r>
    </w:p>
    <w:p>
      <w:pPr>
        <w:spacing w:before="0" w:after="400"/>
      </w:pPr>
      <w:r>
        <w:rPr>
          <w:b/>
          <w:color w:val="1A1A1A"/>
          <w:sz w:val="40"/>
        </w:rPr>
        <w:t>PART TWO: DATA ARCHITECTURE</w:t>
      </w:r>
    </w:p>
    <w:p>
      <w:pPr>
        <w:spacing w:before="120" w:after="200"/>
      </w:pPr>
      <w:r>
        <w:rPr>
          <w:color w:val="CCCCCC"/>
          <w:sz w:val="14"/>
        </w:rPr>
        <w:t>────────────────────────────────────────────────────────────────────────────────</w:t>
      </w:r>
    </w:p>
    <w:p>
      <w:pPr>
        <w:spacing w:before="0" w:after="120"/>
      </w:pPr>
      <w:r>
        <w:rPr>
          <w:color w:val="4A4A4A"/>
          <w:sz w:val="20"/>
        </w:rPr>
        <w:t>This section is written for the development team and CTO. It defines what data the system needs to store, how it flows between tools, the recommended technical stack, and the automated analysis pipeline. The HTML prototypes define the UX — this section specifies how to build the production equivalent.</w:t>
      </w:r>
    </w:p>
    <w:p>
      <w:pPr>
        <w:spacing w:before="480" w:after="80"/>
      </w:pPr>
      <w:r>
        <w:rPr>
          <w:rFonts w:ascii="Courier New" w:hAnsi="Courier New"/>
          <w:b/>
          <w:color w:val="FF6B00"/>
          <w:sz w:val="18"/>
        </w:rPr>
        <w:t xml:space="preserve">CHAPTER 6  </w:t>
      </w:r>
      <w:r>
        <w:rPr>
          <w:b/>
          <w:color w:val="1A1A1A"/>
          <w:sz w:val="28"/>
        </w:rPr>
        <w:t>FUNCTIONAL DATA SPECIFICATION</w:t>
      </w:r>
    </w:p>
    <w:p>
      <w:pPr>
        <w:spacing w:before="0" w:after="120"/>
      </w:pPr>
      <w:r>
        <w:rPr>
          <w:color w:val="4A4A4A"/>
          <w:sz w:val="20"/>
        </w:rPr>
        <w:t>The following entities, data flows, and business rules are technology-agnostic. They define the functional behaviour that the production system must replicate.</w:t>
      </w:r>
    </w:p>
    <w:p>
      <w:pPr>
        <w:spacing w:before="160" w:after="40"/>
      </w:pPr>
      <w:r>
        <w:rPr>
          <w:rFonts w:ascii="Courier New" w:hAnsi="Courier New"/>
          <w:b/>
          <w:color w:val="C8E000"/>
          <w:sz w:val="16"/>
        </w:rPr>
        <w:t>CORE DATA ENTITIES</w:t>
      </w:r>
    </w:p>
    <w:p>
      <w:pPr>
        <w:spacing w:before="120" w:after="20"/>
        <w:ind w:left="288"/>
      </w:pPr>
      <w:r>
        <w:rPr>
          <w:rFonts w:ascii="Courier New" w:hAnsi="Courier New"/>
          <w:b/>
          <w:color w:val="1A1A1A"/>
          <w:sz w:val="18"/>
        </w:rPr>
        <w:t xml:space="preserve">CLIENT  </w:t>
      </w:r>
    </w:p>
    <w:p>
      <w:pPr>
        <w:spacing w:before="0" w:after="60"/>
        <w:ind w:left="576"/>
      </w:pPr>
      <w:r>
        <w:rPr>
          <w:color w:val="4A4A4A"/>
          <w:sz w:val="20"/>
        </w:rPr>
        <w:t>Root record for every engagement. Fields: company name, industry, size, funding stage, subscription tier, start date, monthly credit budget, assigned strategist, active status. All other records are scoped to a Client ID.</w:t>
      </w:r>
    </w:p>
    <w:p>
      <w:pPr>
        <w:spacing w:before="120" w:after="20"/>
        <w:ind w:left="288"/>
      </w:pPr>
      <w:r>
        <w:rPr>
          <w:rFonts w:ascii="Courier New" w:hAnsi="Courier New"/>
          <w:b/>
          <w:color w:val="1A1A1A"/>
          <w:sz w:val="18"/>
        </w:rPr>
        <w:t xml:space="preserve">ENGAGEMENT  </w:t>
      </w:r>
    </w:p>
    <w:p>
      <w:pPr>
        <w:spacing w:before="0" w:after="60"/>
        <w:ind w:left="576"/>
      </w:pPr>
      <w:r>
        <w:rPr>
          <w:color w:val="4A4A4A"/>
          <w:sz w:val="20"/>
        </w:rPr>
        <w:t>Tracks the current month's state for a given client. Fields: client ID, month/year, compound score, credit budget, credits allocated, credits used, escalation level, playbook status (draft/active/closed), primary goal.</w:t>
      </w:r>
    </w:p>
    <w:p>
      <w:pPr>
        <w:spacing w:before="120" w:after="20"/>
        <w:ind w:left="288"/>
      </w:pPr>
      <w:r>
        <w:rPr>
          <w:rFonts w:ascii="Courier New" w:hAnsi="Courier New"/>
          <w:b/>
          <w:color w:val="1A1A1A"/>
          <w:sz w:val="18"/>
        </w:rPr>
        <w:t xml:space="preserve">INTAKE RECORD  </w:t>
      </w:r>
    </w:p>
    <w:p>
      <w:pPr>
        <w:spacing w:before="0" w:after="60"/>
        <w:ind w:left="576"/>
      </w:pPr>
      <w:r>
        <w:rPr>
          <w:color w:val="4A4A4A"/>
          <w:sz w:val="20"/>
        </w:rPr>
        <w:t>Complete output of the Onboarding Intake session. Fields: all 7 sections as structured data — goal type (enum), channels (array), brand tags (array, max 4), budget range, approval flow type, strategist scores per section (1–5). Immutable after session close — amendments create a new version.</w:t>
      </w:r>
    </w:p>
    <w:p>
      <w:pPr>
        <w:spacing w:before="120" w:after="20"/>
        <w:ind w:left="288"/>
      </w:pPr>
      <w:r>
        <w:rPr>
          <w:rFonts w:ascii="Courier New" w:hAnsi="Courier New"/>
          <w:b/>
          <w:color w:val="1A1A1A"/>
          <w:sz w:val="18"/>
        </w:rPr>
        <w:t xml:space="preserve">INITIATIVE  </w:t>
      </w:r>
    </w:p>
    <w:p>
      <w:pPr>
        <w:spacing w:before="0" w:after="60"/>
        <w:ind w:left="576"/>
      </w:pPr>
      <w:r>
        <w:rPr>
          <w:color w:val="4A4A4A"/>
          <w:sz w:val="20"/>
        </w:rPr>
        <w:t>A discrete piece of work within a monthly engagement. Fields: name, description, delivery partner (enum: GritFuel/frank/Bluegyfu/BFL), tier (1/2/3), credits allocated, status (Active/Paused/Complete), deliverables (array: name, format, week, status), KPIs (array: target value, measurement method).</w:t>
      </w:r>
    </w:p>
    <w:p>
      <w:pPr>
        <w:spacing w:before="120" w:after="20"/>
        <w:ind w:left="288"/>
      </w:pPr>
      <w:r>
        <w:rPr>
          <w:rFonts w:ascii="Courier New" w:hAnsi="Courier New"/>
          <w:b/>
          <w:color w:val="1A1A1A"/>
          <w:sz w:val="18"/>
        </w:rPr>
        <w:t xml:space="preserve">CHANNEL METRIC  </w:t>
      </w:r>
    </w:p>
    <w:p>
      <w:pPr>
        <w:spacing w:before="0" w:after="60"/>
        <w:ind w:left="576"/>
      </w:pPr>
      <w:r>
        <w:rPr>
          <w:color w:val="4A4A4A"/>
          <w:sz w:val="20"/>
        </w:rPr>
        <w:t>Monthly performance reading per channel per client. Fields: client ID, month, channel name (enum: organic_search, paid_search, paid_social, email, direct, referral, social_organic), sessions, leads, revenue, conversion_rate, credit_spend, contributing initiative IDs.</w:t>
      </w:r>
    </w:p>
    <w:p>
      <w:pPr>
        <w:spacing w:before="120" w:after="20"/>
        <w:ind w:left="288"/>
      </w:pPr>
      <w:r>
        <w:rPr>
          <w:rFonts w:ascii="Courier New" w:hAnsi="Courier New"/>
          <w:b/>
          <w:color w:val="1A1A1A"/>
          <w:sz w:val="18"/>
        </w:rPr>
        <w:t xml:space="preserve">COMPOUND SCORE  </w:t>
      </w:r>
    </w:p>
    <w:p>
      <w:pPr>
        <w:spacing w:before="0" w:after="60"/>
        <w:ind w:left="576"/>
      </w:pPr>
      <w:r>
        <w:rPr>
          <w:color w:val="4A4A4A"/>
          <w:sz w:val="20"/>
        </w:rPr>
        <w:t>Output of a single Compounding Engine run. Fields: client ID, month, channel_momentum (0–30), goal_proximity (0–25), credit_efficiency (0–25), dependency_sequencing (0–20), total_score (0–100), score_band (enum: ACCELERATE/MAINTAIN/REBALANCE/PIVOT), ranked_recommendations (ordered array).</w:t>
      </w:r>
    </w:p>
    <w:p>
      <w:pPr>
        <w:spacing w:before="120" w:after="20"/>
        <w:ind w:left="288"/>
      </w:pPr>
      <w:r>
        <w:rPr>
          <w:rFonts w:ascii="Courier New" w:hAnsi="Courier New"/>
          <w:b/>
          <w:color w:val="1A1A1A"/>
          <w:sz w:val="18"/>
        </w:rPr>
        <w:t xml:space="preserve">ESCALATION BRIEF  </w:t>
      </w:r>
    </w:p>
    <w:p>
      <w:pPr>
        <w:spacing w:before="0" w:after="60"/>
        <w:ind w:left="576"/>
      </w:pPr>
      <w:r>
        <w:rPr>
          <w:color w:val="4A4A4A"/>
          <w:sz w:val="20"/>
        </w:rPr>
        <w:t>Output of a single Router run. Fields: client ID, month, service_tags (array), complexity_flags (array), client_signals (array), compound_score_band, partner_scores (object: {GritFuel, frank, Bluegyfu, BFL}), primary_partner, escalation_level (enum), internal_brief_text, client_brief_text.</w:t>
      </w:r>
    </w:p>
    <w:p>
      <w:pPr>
        <w:spacing w:before="120" w:after="20"/>
        <w:ind w:left="288"/>
      </w:pPr>
      <w:r>
        <w:rPr>
          <w:rFonts w:ascii="Courier New" w:hAnsi="Courier New"/>
          <w:b/>
          <w:color w:val="1A1A1A"/>
          <w:sz w:val="18"/>
        </w:rPr>
        <w:t xml:space="preserve">CREDIT ALLOCATION PLAN  </w:t>
      </w:r>
    </w:p>
    <w:p>
      <w:pPr>
        <w:spacing w:before="0" w:after="60"/>
        <w:ind w:left="576"/>
      </w:pPr>
      <w:r>
        <w:rPr>
          <w:color w:val="4A4A4A"/>
          <w:sz w:val="20"/>
        </w:rPr>
        <w:t>Monthly credit plan. Fields: client ID, month, total_budget, allocations (array: initiative_id, partner, credits, status, locked), mid_month_mode (boolean), delta_log (array with timestamps), internal_brief, client_brief.</w:t>
      </w:r>
    </w:p>
    <w:p>
      <w:pPr>
        <w:spacing w:before="160" w:after="40"/>
      </w:pPr>
      <w:r>
        <w:rPr>
          <w:rFonts w:ascii="Courier New" w:hAnsi="Courier New"/>
          <w:b/>
          <w:color w:val="C8E000"/>
          <w:sz w:val="16"/>
        </w:rPr>
        <w:t>DATA FLOW MAP</w:t>
      </w:r>
    </w:p>
    <w:p>
      <w:pPr>
        <w:spacing w:before="0" w:after="120"/>
      </w:pPr>
      <w:r>
        <w:rPr>
          <w:color w:val="4A4A4A"/>
          <w:sz w:val="20"/>
        </w:rPr>
        <w:t>The following describes how data moves through the system in monthly cycle order:</w:t>
      </w:r>
    </w:p>
    <w:p>
      <w:pPr>
        <w:spacing w:before="0" w:after="0"/>
        <w:ind w:left="720"/>
      </w:pPr>
      <w:r>
        <w:rPr>
          <w:rFonts w:ascii="Courier New" w:hAnsi="Courier New"/>
          <w:color w:val="4A4A4A"/>
          <w:sz w:val="16"/>
        </w:rPr>
        <w:t>INTAKE RECORD</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COMPOUNDING ENGINE  (Month 1 — intake data only)</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RANKED RECOMMENDATIONS</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                             ▼</w:t>
      </w:r>
    </w:p>
    <w:p>
      <w:pPr>
        <w:spacing w:before="0" w:after="0"/>
        <w:ind w:left="720"/>
      </w:pPr>
      <w:r>
        <w:rPr>
          <w:rFonts w:ascii="Courier New" w:hAnsi="Courier New"/>
          <w:color w:val="4A4A4A"/>
          <w:sz w:val="16"/>
        </w:rPr>
        <w:t>PLAYBOOK DRAFT               ESCALATION ROUTER</w:t>
      </w:r>
    </w:p>
    <w:p>
      <w:pPr>
        <w:spacing w:before="0" w:after="0"/>
        <w:ind w:left="720"/>
      </w:pPr>
      <w:r>
        <w:rPr>
          <w:rFonts w:ascii="Courier New" w:hAnsi="Courier New"/>
          <w:color w:val="4A4A4A"/>
          <w:sz w:val="16"/>
        </w:rPr>
        <w:t>(initiatives, credits)        (partner assignment)</w:t>
      </w:r>
    </w:p>
    <w:p>
      <w:pPr>
        <w:spacing w:before="0" w:after="0"/>
        <w:ind w:left="720"/>
      </w:pPr>
      <w:r>
        <w:rPr>
          <w:rFonts w:ascii="Courier New" w:hAnsi="Courier New"/>
          <w:color w:val="4A4A4A"/>
          <w:sz w:val="16"/>
        </w:rPr>
        <w:t xml:space="preserve">     │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CREDIT ALLOCATION PLAN</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ACTIVE ENGAGEMENT  (initiatives running)</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GROWTH DASHBOARD  (performance tracked)</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CHANNEL METRICS LOCKED  (month close)</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COMPOUNDING ENGINE  (Month 2+)</w:t>
      </w:r>
    </w:p>
    <w:p>
      <w:pPr>
        <w:spacing w:before="0" w:after="0"/>
        <w:ind w:left="720"/>
      </w:pPr>
      <w:r>
        <w:rPr>
          <w:rFonts w:ascii="Courier New" w:hAnsi="Courier New"/>
          <w:color w:val="4A4A4A"/>
          <w:sz w:val="16"/>
        </w:rPr>
        <w:t xml:space="preserve">          (reads dashboard data)</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[LOOP REPEATS — COMPOUNDS]</w:t>
      </w:r>
    </w:p>
    <w:p>
      <w:pPr>
        <w:spacing w:before="160" w:after="40"/>
      </w:pPr>
      <w:r>
        <w:rPr>
          <w:rFonts w:ascii="Courier New" w:hAnsi="Courier New"/>
          <w:b/>
          <w:color w:val="C8E000"/>
          <w:sz w:val="16"/>
        </w:rPr>
        <w:t>KEY DATA HANDOFFS</w:t>
      </w:r>
    </w:p>
    <w:p>
      <w:pPr>
        <w:spacing w:before="0" w:after="100"/>
      </w:pPr>
      <w:r>
        <w:rPr>
          <w:b/>
          <w:color w:val="1A1A1A"/>
          <w:sz w:val="20"/>
        </w:rPr>
        <w:t xml:space="preserve">Intake → Compounding Engine. </w:t>
      </w:r>
      <w:r>
        <w:rPr>
          <w:color w:val="4A4A4A"/>
          <w:sz w:val="20"/>
        </w:rPr>
        <w:t>Channel selections seed the dashboard. Goal becomes goal_proximity baseline. Brand tags inform initiative type weighting.</w:t>
      </w:r>
    </w:p>
    <w:p>
      <w:pPr>
        <w:spacing w:before="0" w:after="100"/>
      </w:pPr>
      <w:r>
        <w:rPr>
          <w:b/>
          <w:color w:val="1A1A1A"/>
          <w:sz w:val="20"/>
        </w:rPr>
        <w:t xml:space="preserve">Compounding Engine → Playbook. </w:t>
      </w:r>
      <w:r>
        <w:rPr>
          <w:color w:val="4A4A4A"/>
          <w:sz w:val="20"/>
        </w:rPr>
        <w:t>Ranked recommendations map to initiative objects (name, type, partner, credit_range).</w:t>
      </w:r>
    </w:p>
    <w:p>
      <w:pPr>
        <w:spacing w:before="0" w:after="100"/>
      </w:pPr>
      <w:r>
        <w:rPr>
          <w:b/>
          <w:color w:val="1A1A1A"/>
          <w:sz w:val="20"/>
        </w:rPr>
        <w:t xml:space="preserve">Compounding Engine → Escalation Router. </w:t>
      </w:r>
      <w:r>
        <w:rPr>
          <w:color w:val="4A4A4A"/>
          <w:sz w:val="20"/>
        </w:rPr>
        <w:t>Compound score band feeds routing logic as one of four inputs.</w:t>
      </w:r>
    </w:p>
    <w:p>
      <w:pPr>
        <w:spacing w:before="0" w:after="100"/>
      </w:pPr>
      <w:r>
        <w:rPr>
          <w:b/>
          <w:color w:val="1A1A1A"/>
          <w:sz w:val="20"/>
        </w:rPr>
        <w:t xml:space="preserve">Escalation Router → Credit Allocation. </w:t>
      </w:r>
      <w:r>
        <w:rPr>
          <w:color w:val="4A4A4A"/>
          <w:sz w:val="20"/>
        </w:rPr>
        <w:t>Escalated briefs carry partner assignments and higher credit requirements.</w:t>
      </w:r>
    </w:p>
    <w:p>
      <w:pPr>
        <w:spacing w:before="0" w:after="100"/>
      </w:pPr>
      <w:r>
        <w:rPr>
          <w:b/>
          <w:color w:val="1A1A1A"/>
          <w:sz w:val="20"/>
        </w:rPr>
        <w:t xml:space="preserve">Credit Allocation → Dashboard. </w:t>
      </w:r>
      <w:r>
        <w:rPr>
          <w:color w:val="4A4A4A"/>
          <w:sz w:val="20"/>
        </w:rPr>
        <w:t>Final allocations populate the credit utilisation view and initiative status cards.</w:t>
      </w:r>
    </w:p>
    <w:p>
      <w:pPr>
        <w:spacing w:before="0" w:after="100"/>
      </w:pPr>
      <w:r>
        <w:rPr>
          <w:b/>
          <w:color w:val="1A1A1A"/>
          <w:sz w:val="20"/>
        </w:rPr>
        <w:t xml:space="preserve">Dashboard → Compounding Engine. </w:t>
      </w:r>
      <w:r>
        <w:rPr>
          <w:color w:val="4A4A4A"/>
          <w:sz w:val="20"/>
        </w:rPr>
        <w:t>Month-end channel metrics, credit spend, and initiative completion rates are read as the four scoring signals.</w:t>
      </w:r>
    </w:p>
    <w:p>
      <w:pPr>
        <w:spacing w:before="160" w:after="40"/>
      </w:pPr>
      <w:r>
        <w:rPr>
          <w:rFonts w:ascii="Courier New" w:hAnsi="Courier New"/>
          <w:b/>
          <w:color w:val="C8E000"/>
          <w:sz w:val="16"/>
        </w:rPr>
        <w:t>BUSINESS RULES</w:t>
      </w:r>
    </w:p>
    <w:p>
      <w:pPr>
        <w:spacing w:before="40" w:after="40"/>
        <w:ind w:left="288"/>
      </w:pPr>
      <w:r>
        <w:rPr>
          <w:b/>
          <w:color w:val="1A1A1A"/>
          <w:sz w:val="20"/>
        </w:rPr>
        <w:t xml:space="preserve">1.  </w:t>
      </w:r>
      <w:r>
        <w:rPr>
          <w:color w:val="4A4A4A"/>
          <w:sz w:val="20"/>
        </w:rPr>
        <w:t>Credits must never exceed the monthly budget in a locked allocation plan.</w:t>
      </w:r>
    </w:p>
    <w:p>
      <w:pPr>
        <w:spacing w:before="40" w:after="40"/>
        <w:ind w:left="288"/>
      </w:pPr>
      <w:r>
        <w:rPr>
          <w:b/>
          <w:color w:val="1A1A1A"/>
          <w:sz w:val="20"/>
        </w:rPr>
        <w:t xml:space="preserve">2.  </w:t>
      </w:r>
      <w:r>
        <w:rPr>
          <w:color w:val="4A4A4A"/>
          <w:sz w:val="20"/>
        </w:rPr>
        <w:t>Partner names (.frank, Bluegyfu, BFL) must never appear in any client-facing output.</w:t>
      </w:r>
    </w:p>
    <w:p>
      <w:pPr>
        <w:spacing w:before="40" w:after="40"/>
        <w:ind w:left="288"/>
      </w:pPr>
      <w:r>
        <w:rPr>
          <w:b/>
          <w:color w:val="1A1A1A"/>
          <w:sz w:val="20"/>
        </w:rPr>
        <w:t xml:space="preserve">3.  </w:t>
      </w:r>
      <w:r>
        <w:rPr>
          <w:color w:val="4A4A4A"/>
          <w:sz w:val="20"/>
        </w:rPr>
        <w:t>An IntakeRecord must exist before a Compounding Engine run can be initiated for a client.</w:t>
      </w:r>
    </w:p>
    <w:p>
      <w:pPr>
        <w:spacing w:before="40" w:after="40"/>
        <w:ind w:left="288"/>
      </w:pPr>
      <w:r>
        <w:rPr>
          <w:b/>
          <w:color w:val="1A1A1A"/>
          <w:sz w:val="20"/>
        </w:rPr>
        <w:t xml:space="preserve">4.  </w:t>
      </w:r>
      <w:r>
        <w:rPr>
          <w:color w:val="4A4A4A"/>
          <w:sz w:val="20"/>
        </w:rPr>
        <w:t>The Compounding Engine can only run once per month per client, after the previous month's dashboard is closed.</w:t>
      </w:r>
    </w:p>
    <w:p>
      <w:pPr>
        <w:spacing w:before="40" w:after="40"/>
        <w:ind w:left="288"/>
      </w:pPr>
      <w:r>
        <w:rPr>
          <w:b/>
          <w:color w:val="1A1A1A"/>
          <w:sz w:val="20"/>
        </w:rPr>
        <w:t xml:space="preserve">5.  </w:t>
      </w:r>
      <w:r>
        <w:rPr>
          <w:color w:val="4A4A4A"/>
          <w:sz w:val="20"/>
        </w:rPr>
        <w:t>A PIVOT score (0–34) automatically sets the escalation level to Full Escalation in the Router.</w:t>
      </w:r>
    </w:p>
    <w:p>
      <w:pPr>
        <w:spacing w:before="40" w:after="40"/>
        <w:ind w:left="288"/>
      </w:pPr>
      <w:r>
        <w:rPr>
          <w:b/>
          <w:color w:val="1A1A1A"/>
          <w:sz w:val="20"/>
        </w:rPr>
        <w:t xml:space="preserve">6.  </w:t>
      </w:r>
      <w:r>
        <w:rPr>
          <w:color w:val="4A4A4A"/>
          <w:sz w:val="20"/>
        </w:rPr>
        <w:t>Tier 2 initiatives cannot be recommended until all Tier 1 milestones are marked complete.</w:t>
      </w:r>
    </w:p>
    <w:p>
      <w:pPr>
        <w:spacing w:before="40" w:after="40"/>
        <w:ind w:left="288"/>
      </w:pPr>
      <w:r>
        <w:rPr>
          <w:b/>
          <w:color w:val="1A1A1A"/>
          <w:sz w:val="20"/>
        </w:rPr>
        <w:t xml:space="preserve">7.  </w:t>
      </w:r>
      <w:r>
        <w:rPr>
          <w:color w:val="4A4A4A"/>
          <w:sz w:val="20"/>
        </w:rPr>
        <w:t>Paused initiative credits must return to the unallocated pool immediately (not on month close).</w:t>
      </w:r>
    </w:p>
    <w:p>
      <w:pPr>
        <w:spacing w:before="40" w:after="40"/>
        <w:ind w:left="288"/>
      </w:pPr>
      <w:r>
        <w:rPr>
          <w:b/>
          <w:color w:val="1A1A1A"/>
          <w:sz w:val="20"/>
        </w:rPr>
        <w:t xml:space="preserve">8.  </w:t>
      </w:r>
      <w:r>
        <w:rPr>
          <w:color w:val="4A4A4A"/>
          <w:sz w:val="20"/>
        </w:rPr>
        <w:t>All EscalationBriefs and CreditAllocationPlans must store both internal and client-facing versions as separate, immutable text fields.</w:t>
      </w:r>
    </w:p>
    <w:p>
      <w:pPr>
        <w:spacing w:before="480" w:after="80"/>
      </w:pPr>
      <w:r>
        <w:rPr>
          <w:rFonts w:ascii="Courier New" w:hAnsi="Courier New"/>
          <w:b/>
          <w:color w:val="FF6B00"/>
          <w:sz w:val="18"/>
        </w:rPr>
        <w:t xml:space="preserve">CHAPTER 7  </w:t>
      </w:r>
      <w:r>
        <w:rPr>
          <w:b/>
          <w:color w:val="1A1A1A"/>
          <w:sz w:val="28"/>
        </w:rPr>
        <w:t>TECHNICAL SPECIFICATION</w:t>
      </w:r>
    </w:p>
    <w:p>
      <w:pPr>
        <w:spacing w:before="0" w:after="120"/>
      </w:pPr>
      <w:r>
        <w:rPr>
          <w:color w:val="4A4A4A"/>
          <w:sz w:val="20"/>
        </w:rPr>
        <w:t>The production GritFuel OS requires a server-side application with persistent storage, a rules engine, and a set of client-facing and internal UI surfaces. The five HTML prototypes define the UX and logic — this chapter specifies how to build the production equivalent.</w:t>
      </w:r>
    </w:p>
    <w:p>
      <w:pPr>
        <w:spacing w:before="160" w:after="40"/>
      </w:pPr>
      <w:r>
        <w:rPr>
          <w:rFonts w:ascii="Courier New" w:hAnsi="Courier New"/>
          <w:b/>
          <w:color w:val="C8E000"/>
          <w:sz w:val="16"/>
        </w:rPr>
        <w:t>RECOMMENDED STACK</w:t>
      </w:r>
    </w:p>
    <w:p>
      <w:pPr>
        <w:spacing w:before="200" w:after="80"/>
      </w:pPr>
      <w:r>
        <w:rPr>
          <w:b/>
          <w:color w:val="4A4A4A"/>
          <w:sz w:val="22"/>
        </w:rPr>
        <w:t>Backend</w:t>
      </w:r>
    </w:p>
    <w:p>
      <w:pPr>
        <w:spacing w:before="0" w:after="100"/>
      </w:pPr>
      <w:r>
        <w:rPr>
          <w:b/>
          <w:color w:val="1A1A1A"/>
          <w:sz w:val="20"/>
        </w:rPr>
        <w:t xml:space="preserve">Language. </w:t>
      </w:r>
      <w:r>
        <w:rPr>
          <w:color w:val="4A4A4A"/>
          <w:sz w:val="20"/>
        </w:rPr>
        <w:t>Node.js (TypeScript) recommended — shared types with frontend. Python (FastAPI) is a valid alternative for data-heavy teams.</w:t>
      </w:r>
    </w:p>
    <w:p>
      <w:pPr>
        <w:spacing w:before="0" w:after="100"/>
      </w:pPr>
      <w:r>
        <w:rPr>
          <w:b/>
          <w:color w:val="1A1A1A"/>
          <w:sz w:val="20"/>
        </w:rPr>
        <w:t xml:space="preserve">API layer. </w:t>
      </w:r>
      <w:r>
        <w:rPr>
          <w:color w:val="4A4A4A"/>
          <w:sz w:val="20"/>
        </w:rPr>
        <w:t>RESTful JSON API with JWT authentication. A lightweight GraphQL layer can be added for dashboard real-time queries in v2.</w:t>
      </w:r>
    </w:p>
    <w:p>
      <w:pPr>
        <w:spacing w:before="0" w:after="100"/>
      </w:pPr>
      <w:r>
        <w:rPr>
          <w:b/>
          <w:color w:val="1A1A1A"/>
          <w:sz w:val="20"/>
        </w:rPr>
        <w:t xml:space="preserve">Background jobs. </w:t>
      </w:r>
      <w:r>
        <w:rPr>
          <w:color w:val="4A4A4A"/>
          <w:sz w:val="20"/>
        </w:rPr>
        <w:t>BullMQ on Redis (or Inngest for managed serverless) for Compounding Engine runs, brief generation, and PDF export rendering. Engine runs are triggered by month-close events, not HTTP requests.</w:t>
      </w:r>
    </w:p>
    <w:p>
      <w:pPr>
        <w:spacing w:before="200" w:after="80"/>
      </w:pPr>
      <w:r>
        <w:rPr>
          <w:b/>
          <w:color w:val="4A4A4A"/>
          <w:sz w:val="22"/>
        </w:rPr>
        <w:t>Database</w:t>
      </w:r>
    </w:p>
    <w:p>
      <w:pPr>
        <w:spacing w:before="0" w:after="100"/>
      </w:pPr>
      <w:r>
        <w:rPr>
          <w:b/>
          <w:color w:val="1A1A1A"/>
          <w:sz w:val="20"/>
        </w:rPr>
        <w:t xml:space="preserve">Primary store. </w:t>
      </w:r>
      <w:r>
        <w:rPr>
          <w:color w:val="4A4A4A"/>
          <w:sz w:val="20"/>
        </w:rPr>
        <w:t>PostgreSQL. Relational data model with JSONB columns for semi-structured fields (deliverable arrays, recommendation lists, brief text).</w:t>
      </w:r>
    </w:p>
    <w:p>
      <w:pPr>
        <w:spacing w:before="0" w:after="100"/>
      </w:pPr>
      <w:r>
        <w:rPr>
          <w:b/>
          <w:color w:val="1A1A1A"/>
          <w:sz w:val="20"/>
        </w:rPr>
        <w:t xml:space="preserve">Schema. </w:t>
      </w:r>
      <w:r>
        <w:rPr>
          <w:color w:val="4A4A4A"/>
          <w:sz w:val="20"/>
        </w:rPr>
        <w:t>Separate schemas for: clients, engagements, channel_metrics, compound_scores, escalation_briefs, credit_allocation_plans. Foreign key constraints and soft deletes (deleted_at timestamp) throughout.</w:t>
      </w:r>
    </w:p>
    <w:p>
      <w:pPr>
        <w:spacing w:before="0" w:after="100"/>
      </w:pPr>
      <w:r>
        <w:rPr>
          <w:b/>
          <w:color w:val="1A1A1A"/>
          <w:sz w:val="20"/>
        </w:rPr>
        <w:t xml:space="preserve">Caching. </w:t>
      </w:r>
      <w:r>
        <w:rPr>
          <w:color w:val="4A4A4A"/>
          <w:sz w:val="20"/>
        </w:rPr>
        <w:t>Redis for session state, dashboard read caches (15-minute TTL on client tabs), and job queues.</w:t>
      </w:r>
    </w:p>
    <w:p>
      <w:pPr>
        <w:spacing w:before="200" w:after="80"/>
      </w:pPr>
      <w:r>
        <w:rPr>
          <w:b/>
          <w:color w:val="4A4A4A"/>
          <w:sz w:val="22"/>
        </w:rPr>
        <w:t>Frontend</w:t>
      </w:r>
    </w:p>
    <w:p>
      <w:pPr>
        <w:spacing w:before="0" w:after="100"/>
      </w:pPr>
      <w:r>
        <w:rPr>
          <w:b/>
          <w:color w:val="1A1A1A"/>
          <w:sz w:val="20"/>
        </w:rPr>
        <w:t xml:space="preserve">Framework. </w:t>
      </w:r>
      <w:r>
        <w:rPr>
          <w:color w:val="4A4A4A"/>
          <w:sz w:val="20"/>
        </w:rPr>
        <w:t>React (Next.js for strategist dashboard and admin tools; React SPA for client portal).</w:t>
      </w:r>
    </w:p>
    <w:p>
      <w:pPr>
        <w:spacing w:before="0" w:after="100"/>
      </w:pPr>
      <w:r>
        <w:rPr>
          <w:b/>
          <w:color w:val="1A1A1A"/>
          <w:sz w:val="20"/>
        </w:rPr>
        <w:t xml:space="preserve">Component library. </w:t>
      </w:r>
      <w:r>
        <w:rPr>
          <w:color w:val="4A4A4A"/>
          <w:sz w:val="20"/>
        </w:rPr>
        <w:t>Build a shared library for KPI cards, initiative status cards, credit spinners, and donut charts — these appear across multiple tools and must be visually consistent.</w:t>
      </w:r>
    </w:p>
    <w:p>
      <w:pPr>
        <w:spacing w:before="0" w:after="100"/>
      </w:pPr>
      <w:r>
        <w:rPr>
          <w:b/>
          <w:color w:val="1A1A1A"/>
          <w:sz w:val="20"/>
        </w:rPr>
        <w:t xml:space="preserve">State. </w:t>
      </w:r>
      <w:r>
        <w:rPr>
          <w:color w:val="4A4A4A"/>
          <w:sz w:val="20"/>
        </w:rPr>
        <w:t>React Query (TanStack Query) for server state. Zustand or Context API for local UI state (mid-month mode toggles, lock states).</w:t>
      </w:r>
    </w:p>
    <w:p>
      <w:pPr>
        <w:spacing w:before="200" w:after="80"/>
      </w:pPr>
      <w:r>
        <w:rPr>
          <w:b/>
          <w:color w:val="4A4A4A"/>
          <w:sz w:val="22"/>
        </w:rPr>
        <w:t>Authentication</w:t>
      </w:r>
    </w:p>
    <w:p>
      <w:pPr>
        <w:spacing w:before="0" w:after="100"/>
      </w:pPr>
      <w:r>
        <w:rPr>
          <w:b/>
          <w:color w:val="1A1A1A"/>
          <w:sz w:val="20"/>
        </w:rPr>
        <w:t xml:space="preserve">Strategist accounts. </w:t>
      </w:r>
      <w:r>
        <w:rPr>
          <w:color w:val="4A4A4A"/>
          <w:sz w:val="20"/>
        </w:rPr>
        <w:t>Email/password with 2FA.</w:t>
      </w:r>
    </w:p>
    <w:p>
      <w:pPr>
        <w:spacing w:before="0" w:after="100"/>
      </w:pPr>
      <w:r>
        <w:rPr>
          <w:b/>
          <w:color w:val="1A1A1A"/>
          <w:sz w:val="20"/>
        </w:rPr>
        <w:t xml:space="preserve">Client portal. </w:t>
      </w:r>
      <w:r>
        <w:rPr>
          <w:color w:val="4A4A4A"/>
          <w:sz w:val="20"/>
        </w:rPr>
        <w:t>Magic link authentication — no password required for clients. Client and internal views are strictly separated at the API layer.</w:t>
      </w:r>
    </w:p>
    <w:p>
      <w:pPr>
        <w:spacing w:before="0" w:after="100"/>
      </w:pPr>
      <w:r>
        <w:rPr>
          <w:b/>
          <w:color w:val="1A1A1A"/>
          <w:sz w:val="20"/>
        </w:rPr>
        <w:t xml:space="preserve">Roles. </w:t>
      </w:r>
      <w:r>
        <w:rPr>
          <w:color w:val="4A4A4A"/>
          <w:sz w:val="20"/>
        </w:rPr>
        <w:t>Two roles: strategist (full access) and client (client tab only). All internal data fields must be server-side filtered before the client API response is built.</w:t>
      </w:r>
    </w:p>
    <w:p>
      <w:pPr>
        <w:spacing w:before="200" w:after="80"/>
      </w:pPr>
      <w:r>
        <w:rPr>
          <w:b/>
          <w:color w:val="4A4A4A"/>
          <w:sz w:val="22"/>
        </w:rPr>
        <w:t>Infrastructure</w:t>
      </w:r>
    </w:p>
    <w:p>
      <w:pPr>
        <w:spacing w:before="0" w:after="100"/>
      </w:pPr>
      <w:r>
        <w:rPr>
          <w:b/>
          <w:color w:val="1A1A1A"/>
          <w:sz w:val="20"/>
        </w:rPr>
        <w:t xml:space="preserve">Hosting. </w:t>
      </w:r>
      <w:r>
        <w:rPr>
          <w:color w:val="4A4A4A"/>
          <w:sz w:val="20"/>
        </w:rPr>
        <w:t>Vercel (frontend) + Railway or Render (backend API + background jobs) — fastest path to production for a small team. AWS/GCP for scale.</w:t>
      </w:r>
    </w:p>
    <w:p>
      <w:pPr>
        <w:spacing w:before="0" w:after="100"/>
      </w:pPr>
      <w:r>
        <w:rPr>
          <w:b/>
          <w:color w:val="1A1A1A"/>
          <w:sz w:val="20"/>
        </w:rPr>
        <w:t xml:space="preserve">Database hosting. </w:t>
      </w:r>
      <w:r>
        <w:rPr>
          <w:color w:val="4A4A4A"/>
          <w:sz w:val="20"/>
        </w:rPr>
        <w:t>Supabase (managed PostgreSQL + auth starter) or Railway Postgres. Self-managed RDS when volume justifies it.</w:t>
      </w:r>
    </w:p>
    <w:p>
      <w:pPr>
        <w:spacing w:before="0" w:after="100"/>
      </w:pPr>
      <w:r>
        <w:rPr>
          <w:b/>
          <w:color w:val="1A1A1A"/>
          <w:sz w:val="20"/>
        </w:rPr>
        <w:t xml:space="preserve">File exports. </w:t>
      </w:r>
      <w:r>
        <w:rPr>
          <w:color w:val="4A4A4A"/>
          <w:sz w:val="20"/>
        </w:rPr>
        <w:t>Generate PDF briefs server-side using Puppeteer or Gotenberg. Store in S3-compatible object storage (Supabase Storage or Cloudflare R2).</w:t>
      </w:r>
    </w:p>
    <w:p>
      <w:pPr>
        <w:spacing w:before="160" w:after="40"/>
      </w:pPr>
      <w:r>
        <w:rPr>
          <w:rFonts w:ascii="Courier New" w:hAnsi="Courier New"/>
          <w:b/>
          <w:color w:val="C8E000"/>
          <w:sz w:val="16"/>
        </w:rPr>
        <w:t>AUTOMATED ANALYSIS PIPELINE</w:t>
      </w:r>
    </w:p>
    <w:p>
      <w:pPr>
        <w:spacing w:before="0" w:after="120"/>
      </w:pPr>
      <w:r>
        <w:rPr>
          <w:color w:val="4A4A4A"/>
          <w:sz w:val="20"/>
        </w:rPr>
        <w:t>The Compounding Engine is the system's primary intelligence component. In production it runs automatically at month close. The required pipeline:</w:t>
      </w:r>
    </w:p>
    <w:p>
      <w:pPr>
        <w:spacing w:before="0" w:after="100"/>
      </w:pPr>
      <w:r>
        <w:rPr>
          <w:b/>
          <w:color w:val="1A1A1A"/>
          <w:sz w:val="20"/>
        </w:rPr>
        <w:t xml:space="preserve">1. Month Close Trigger. </w:t>
      </w:r>
      <w:r>
        <w:rPr>
          <w:color w:val="4A4A4A"/>
          <w:sz w:val="20"/>
        </w:rPr>
        <w:t>A strategist action ("Close Month") creates a month_close event. This locks the Engagement record, freezes all ChannelMetric entries for the month, and enqueues a run_compounding_engine job.</w:t>
      </w:r>
    </w:p>
    <w:p>
      <w:pPr>
        <w:spacing w:before="0" w:after="100"/>
      </w:pPr>
      <w:r>
        <w:rPr>
          <w:b/>
          <w:color w:val="1A1A1A"/>
          <w:sz w:val="20"/>
        </w:rPr>
        <w:t xml:space="preserve">2. Signal Computation. </w:t>
      </w:r>
      <w:r>
        <w:rPr>
          <w:color w:val="4A4A4A"/>
          <w:sz w:val="20"/>
        </w:rPr>
        <w:t>Four jobs run in parallel: compute_channel_momentum (MoM growth rate per channel, weighted by credit spend → score 0–30); compute_goal_proximity (distance from intake target with non-linear decay → score 0–25); compute_credit_efficiency (metric growth per credit spent, normalised across channels → score 0–25); compute_dependency_sequencing (milestone completion across 3 tiers → score 0–20).</w:t>
      </w:r>
    </w:p>
    <w:p>
      <w:pPr>
        <w:spacing w:before="0" w:after="100"/>
      </w:pPr>
      <w:r>
        <w:rPr>
          <w:b/>
          <w:color w:val="1A1A1A"/>
          <w:sz w:val="20"/>
        </w:rPr>
        <w:t xml:space="preserve">3. Compound Score Assembly. </w:t>
      </w:r>
      <w:r>
        <w:rPr>
          <w:color w:val="4A4A4A"/>
          <w:sz w:val="20"/>
        </w:rPr>
        <w:t>Sum the four signal scores. Assign score band. Store CompoundScore record.</w:t>
      </w:r>
    </w:p>
    <w:p>
      <w:pPr>
        <w:spacing w:before="0" w:after="100"/>
      </w:pPr>
      <w:r>
        <w:rPr>
          <w:b/>
          <w:color w:val="1A1A1A"/>
          <w:sz w:val="20"/>
        </w:rPr>
        <w:t xml:space="preserve">4. Recommendation Generation. </w:t>
      </w:r>
      <w:r>
        <w:rPr>
          <w:color w:val="4A4A4A"/>
          <w:sz w:val="20"/>
        </w:rPr>
        <w:t>Based on score band and signal breakdown, generate ranked initiative recommendations using a decision table (not a language model). Store as ranked_recommendations on the CompoundScore record.</w:t>
      </w:r>
    </w:p>
    <w:p>
      <w:pPr>
        <w:spacing w:before="0" w:after="100"/>
      </w:pPr>
      <w:r>
        <w:rPr>
          <w:b/>
          <w:color w:val="1A1A1A"/>
          <w:sz w:val="20"/>
        </w:rPr>
        <w:t xml:space="preserve">5. Playbook Pre-population. </w:t>
      </w:r>
      <w:r>
        <w:rPr>
          <w:color w:val="4A4A4A"/>
          <w:sz w:val="20"/>
        </w:rPr>
        <w:t>On CompoundScore creation, automatically create a draft PlaybookMonth for the next month, pre-populated with top 3 ranked recommendations as draft initiatives and credit allocation from the previous month's pattern. Trigger strategist notification to review and approve.</w:t>
      </w:r>
    </w:p>
    <w:p>
      <w:pPr>
        <w:spacing w:before="0" w:after="100"/>
      </w:pPr>
      <w:r>
        <w:rPr>
          <w:b/>
          <w:color w:val="1A1A1A"/>
          <w:sz w:val="20"/>
        </w:rPr>
        <w:t xml:space="preserve">6. Dashboard Refresh. </w:t>
      </w:r>
      <w:r>
        <w:rPr>
          <w:color w:val="4A4A4A"/>
          <w:sz w:val="20"/>
        </w:rPr>
        <w:t>On month close, refresh the client dashboard's "Next Month Preview" with the top 3 recommendations (sanitised language). The client sees forward-looking guidance without seeing the scoring logic.</w:t>
      </w:r>
    </w:p>
    <w:p>
      <w:pPr>
        <w:spacing w:before="160" w:after="40"/>
      </w:pPr>
      <w:r>
        <w:rPr>
          <w:rFonts w:ascii="Courier New" w:hAnsi="Courier New"/>
          <w:b/>
          <w:color w:val="C8E000"/>
          <w:sz w:val="16"/>
        </w:rPr>
        <w:t>RECOMMENDATION RULES ENGINE (DECISION TABLE)</w:t>
      </w:r>
    </w:p>
    <w:p>
      <w:pPr>
        <w:spacing w:before="0" w:after="120"/>
      </w:pPr>
      <w:r>
        <w:rPr>
          <w:color w:val="4A4A4A"/>
          <w:sz w:val="20"/>
        </w:rPr>
        <w:t>The following conditions determine which initiatives appear in the recommendation set. This is a deterministic rules engine — not a language model.</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color w:val="1A1A1A"/>
                <w:sz w:val="18"/>
              </w:rPr>
              <w:t>Condition</w:t>
            </w:r>
          </w:p>
        </w:tc>
        <w:tc>
          <w:tcPr>
            <w:tcW w:type="dxa" w:w="3010"/>
          </w:tcPr>
          <w:p>
            <w:r>
              <w:rPr>
                <w:b/>
                <w:color w:val="1A1A1A"/>
                <w:sz w:val="18"/>
              </w:rPr>
              <w:t>Recommendation</w:t>
            </w:r>
          </w:p>
        </w:tc>
        <w:tc>
          <w:tcPr>
            <w:tcW w:type="dxa" w:w="3010"/>
          </w:tcPr>
          <w:p>
            <w:r>
              <w:rPr>
                <w:b/>
                <w:color w:val="1A1A1A"/>
                <w:sz w:val="18"/>
              </w:rPr>
              <w:t>Priority</w:t>
            </w:r>
          </w:p>
        </w:tc>
      </w:tr>
      <w:tr>
        <w:tc>
          <w:tcPr>
            <w:tcW w:type="dxa" w:w="3010"/>
          </w:tcPr>
          <w:p>
            <w:r>
              <w:rPr>
                <w:color w:val="4A4A4A"/>
                <w:sz w:val="18"/>
              </w:rPr>
              <w:t>Channel MoM growth &gt; 30%</w:t>
            </w:r>
          </w:p>
        </w:tc>
        <w:tc>
          <w:tcPr>
            <w:tcW w:type="dxa" w:w="3010"/>
          </w:tcPr>
          <w:p>
            <w:r>
              <w:rPr>
                <w:color w:val="4A4A4A"/>
                <w:sz w:val="18"/>
              </w:rPr>
              <w:t>Increase credit allocation to this channel</w:t>
            </w:r>
          </w:p>
        </w:tc>
        <w:tc>
          <w:tcPr>
            <w:tcW w:type="dxa" w:w="3010"/>
          </w:tcPr>
          <w:p>
            <w:r>
              <w:rPr>
                <w:color w:val="4A4A4A"/>
                <w:sz w:val="18"/>
              </w:rPr>
              <w:t>High</w:t>
            </w:r>
          </w:p>
        </w:tc>
      </w:tr>
      <w:tr>
        <w:tc>
          <w:tcPr>
            <w:tcW w:type="dxa" w:w="3010"/>
          </w:tcPr>
          <w:p>
            <w:r>
              <w:rPr>
                <w:color w:val="4A4A4A"/>
                <w:sz w:val="18"/>
              </w:rPr>
              <w:t>Channel MoM growth &lt; 0% for 2+ months</w:t>
            </w:r>
          </w:p>
        </w:tc>
        <w:tc>
          <w:tcPr>
            <w:tcW w:type="dxa" w:w="3010"/>
          </w:tcPr>
          <w:p>
            <w:r>
              <w:rPr>
                <w:color w:val="4A4A4A"/>
                <w:sz w:val="18"/>
              </w:rPr>
              <w:t>Flag for rebalancing or pausing</w:t>
            </w:r>
          </w:p>
        </w:tc>
        <w:tc>
          <w:tcPr>
            <w:tcW w:type="dxa" w:w="3010"/>
          </w:tcPr>
          <w:p>
            <w:r>
              <w:rPr>
                <w:color w:val="4A4A4A"/>
                <w:sz w:val="18"/>
              </w:rPr>
              <w:t>High</w:t>
            </w:r>
          </w:p>
        </w:tc>
      </w:tr>
      <w:tr>
        <w:tc>
          <w:tcPr>
            <w:tcW w:type="dxa" w:w="3010"/>
          </w:tcPr>
          <w:p>
            <w:r>
              <w:rPr>
                <w:color w:val="4A4A4A"/>
                <w:sz w:val="18"/>
              </w:rPr>
              <w:t>Goal proximity &lt; 20% (nearly at target)</w:t>
            </w:r>
          </w:p>
        </w:tc>
        <w:tc>
          <w:tcPr>
            <w:tcW w:type="dxa" w:w="3010"/>
          </w:tcPr>
          <w:p>
            <w:r>
              <w:rPr>
                <w:color w:val="4A4A4A"/>
                <w:sz w:val="18"/>
              </w:rPr>
              <w:t>Sustain and compound — do not reduce investment</w:t>
            </w:r>
          </w:p>
        </w:tc>
        <w:tc>
          <w:tcPr>
            <w:tcW w:type="dxa" w:w="3010"/>
          </w:tcPr>
          <w:p>
            <w:r>
              <w:rPr>
                <w:color w:val="4A4A4A"/>
                <w:sz w:val="18"/>
              </w:rPr>
              <w:t>High</w:t>
            </w:r>
          </w:p>
        </w:tc>
      </w:tr>
      <w:tr>
        <w:tc>
          <w:tcPr>
            <w:tcW w:type="dxa" w:w="3010"/>
          </w:tcPr>
          <w:p>
            <w:r>
              <w:rPr>
                <w:color w:val="4A4A4A"/>
                <w:sz w:val="18"/>
              </w:rPr>
              <w:t>Goal proximity &gt; 70% (far from target)</w:t>
            </w:r>
          </w:p>
        </w:tc>
        <w:tc>
          <w:tcPr>
            <w:tcW w:type="dxa" w:w="3010"/>
          </w:tcPr>
          <w:p>
            <w:r>
              <w:rPr>
                <w:color w:val="4A4A4A"/>
                <w:sz w:val="18"/>
              </w:rPr>
              <w:t>Rebalance credit mix toward primary goal channel</w:t>
            </w:r>
          </w:p>
        </w:tc>
        <w:tc>
          <w:tcPr>
            <w:tcW w:type="dxa" w:w="3010"/>
          </w:tcPr>
          <w:p>
            <w:r>
              <w:rPr>
                <w:color w:val="4A4A4A"/>
                <w:sz w:val="18"/>
              </w:rPr>
              <w:t>High</w:t>
            </w:r>
          </w:p>
        </w:tc>
      </w:tr>
      <w:tr>
        <w:tc>
          <w:tcPr>
            <w:tcW w:type="dxa" w:w="3010"/>
          </w:tcPr>
          <w:p>
            <w:r>
              <w:rPr>
                <w:color w:val="4A4A4A"/>
                <w:sz w:val="18"/>
              </w:rPr>
              <w:t>Credit efficiency bottom quartile</w:t>
            </w:r>
          </w:p>
        </w:tc>
        <w:tc>
          <w:tcPr>
            <w:tcW w:type="dxa" w:w="3010"/>
          </w:tcPr>
          <w:p>
            <w:r>
              <w:rPr>
                <w:color w:val="4A4A4A"/>
                <w:sz w:val="18"/>
              </w:rPr>
              <w:t>Review and reallocate credits away from channel</w:t>
            </w:r>
          </w:p>
        </w:tc>
        <w:tc>
          <w:tcPr>
            <w:tcW w:type="dxa" w:w="3010"/>
          </w:tcPr>
          <w:p>
            <w:r>
              <w:rPr>
                <w:color w:val="4A4A4A"/>
                <w:sz w:val="18"/>
              </w:rPr>
              <w:t>Medium</w:t>
            </w:r>
          </w:p>
        </w:tc>
      </w:tr>
      <w:tr>
        <w:tc>
          <w:tcPr>
            <w:tcW w:type="dxa" w:w="3010"/>
          </w:tcPr>
          <w:p>
            <w:r>
              <w:rPr>
                <w:color w:val="4A4A4A"/>
                <w:sz w:val="18"/>
              </w:rPr>
              <w:t>Tier 1 milestone incomplete</w:t>
            </w:r>
          </w:p>
        </w:tc>
        <w:tc>
          <w:tcPr>
            <w:tcW w:type="dxa" w:w="3010"/>
          </w:tcPr>
          <w:p>
            <w:r>
              <w:rPr>
                <w:color w:val="4A4A4A"/>
                <w:sz w:val="18"/>
              </w:rPr>
              <w:t>Recommend missing Tier 1 foundation</w:t>
            </w:r>
          </w:p>
        </w:tc>
        <w:tc>
          <w:tcPr>
            <w:tcW w:type="dxa" w:w="3010"/>
          </w:tcPr>
          <w:p>
            <w:r>
              <w:rPr>
                <w:color w:val="4A4A4A"/>
                <w:sz w:val="18"/>
              </w:rPr>
              <w:t>High</w:t>
            </w:r>
          </w:p>
        </w:tc>
      </w:tr>
      <w:tr>
        <w:tc>
          <w:tcPr>
            <w:tcW w:type="dxa" w:w="3010"/>
          </w:tcPr>
          <w:p>
            <w:r>
              <w:rPr>
                <w:color w:val="4A4A4A"/>
                <w:sz w:val="18"/>
              </w:rPr>
              <w:t>Tier 1 complete, Tier 2 not started</w:t>
            </w:r>
          </w:p>
        </w:tc>
        <w:tc>
          <w:tcPr>
            <w:tcW w:type="dxa" w:w="3010"/>
          </w:tcPr>
          <w:p>
            <w:r>
              <w:rPr>
                <w:color w:val="4A4A4A"/>
                <w:sz w:val="18"/>
              </w:rPr>
              <w:t>Unlock and recommend first Tier 2 initiatives</w:t>
            </w:r>
          </w:p>
        </w:tc>
        <w:tc>
          <w:tcPr>
            <w:tcW w:type="dxa" w:w="3010"/>
          </w:tcPr>
          <w:p>
            <w:r>
              <w:rPr>
                <w:color w:val="4A4A4A"/>
                <w:sz w:val="18"/>
              </w:rPr>
              <w:t>Medium</w:t>
            </w:r>
          </w:p>
        </w:tc>
      </w:tr>
      <w:tr>
        <w:tc>
          <w:tcPr>
            <w:tcW w:type="dxa" w:w="3010"/>
          </w:tcPr>
          <w:p>
            <w:r>
              <w:rPr>
                <w:color w:val="4A4A4A"/>
                <w:sz w:val="18"/>
              </w:rPr>
              <w:t>Tier 2 &gt; 80% complete</w:t>
            </w:r>
          </w:p>
        </w:tc>
        <w:tc>
          <w:tcPr>
            <w:tcW w:type="dxa" w:w="3010"/>
          </w:tcPr>
          <w:p>
            <w:r>
              <w:rPr>
                <w:color w:val="4A4A4A"/>
                <w:sz w:val="18"/>
              </w:rPr>
              <w:t>Preview Tier 3 initiatives</w:t>
            </w:r>
          </w:p>
        </w:tc>
        <w:tc>
          <w:tcPr>
            <w:tcW w:type="dxa" w:w="3010"/>
          </w:tcPr>
          <w:p>
            <w:r>
              <w:rPr>
                <w:color w:val="4A4A4A"/>
                <w:sz w:val="18"/>
              </w:rPr>
              <w:t>Low</w:t>
            </w:r>
          </w:p>
        </w:tc>
      </w:tr>
      <w:tr>
        <w:tc>
          <w:tcPr>
            <w:tcW w:type="dxa" w:w="3010"/>
          </w:tcPr>
          <w:p>
            <w:r>
              <w:rPr>
                <w:color w:val="4A4A4A"/>
                <w:sz w:val="18"/>
              </w:rPr>
              <w:t>PIVOT + brand-related signal</w:t>
            </w:r>
          </w:p>
        </w:tc>
        <w:tc>
          <w:tcPr>
            <w:tcW w:type="dxa" w:w="3010"/>
          </w:tcPr>
          <w:p>
            <w:r>
              <w:rPr>
                <w:color w:val="4A4A4A"/>
                <w:sz w:val="18"/>
              </w:rPr>
              <w:t>Route to .frank — strategic review</w:t>
            </w:r>
          </w:p>
        </w:tc>
        <w:tc>
          <w:tcPr>
            <w:tcW w:type="dxa" w:w="3010"/>
          </w:tcPr>
          <w:p>
            <w:r>
              <w:rPr>
                <w:color w:val="4A4A4A"/>
                <w:sz w:val="18"/>
              </w:rPr>
              <w:t>Critical</w:t>
            </w:r>
          </w:p>
        </w:tc>
      </w:tr>
      <w:tr>
        <w:tc>
          <w:tcPr>
            <w:tcW w:type="dxa" w:w="3010"/>
          </w:tcPr>
          <w:p>
            <w:r>
              <w:rPr>
                <w:color w:val="4A4A4A"/>
                <w:sz w:val="18"/>
              </w:rPr>
              <w:t>PIVOT + performance-related signal</w:t>
            </w:r>
          </w:p>
        </w:tc>
        <w:tc>
          <w:tcPr>
            <w:tcW w:type="dxa" w:w="3010"/>
          </w:tcPr>
          <w:p>
            <w:r>
              <w:rPr>
                <w:color w:val="4A4A4A"/>
                <w:sz w:val="18"/>
              </w:rPr>
              <w:t>Route to Bluegyfu — channel audit</w:t>
            </w:r>
          </w:p>
        </w:tc>
        <w:tc>
          <w:tcPr>
            <w:tcW w:type="dxa" w:w="3010"/>
          </w:tcPr>
          <w:p>
            <w:r>
              <w:rPr>
                <w:color w:val="4A4A4A"/>
                <w:sz w:val="18"/>
              </w:rPr>
              <w:t>Critical</w:t>
            </w:r>
          </w:p>
        </w:tc>
      </w:tr>
    </w:tbl>
    <w:p/>
    <w:p>
      <w:pPr>
        <w:spacing w:before="160" w:after="40"/>
      </w:pPr>
      <w:r>
        <w:rPr>
          <w:rFonts w:ascii="Courier New" w:hAnsi="Courier New"/>
          <w:b/>
          <w:color w:val="C8E000"/>
          <w:sz w:val="16"/>
        </w:rPr>
        <w:t>KEY API ENDPOINTS (V1)</w:t>
      </w:r>
    </w:p>
    <w:p>
      <w:pPr>
        <w:spacing w:before="120" w:after="20"/>
      </w:pPr>
      <w:r>
        <w:rPr>
          <w:b/>
          <w:color w:val="1A1A1A"/>
          <w:sz w:val="20"/>
        </w:rPr>
        <w:t>Clients</w:t>
      </w:r>
    </w:p>
    <w:p>
      <w:pPr>
        <w:spacing w:before="0" w:after="20"/>
        <w:ind w:left="432"/>
      </w:pPr>
      <w:r>
        <w:rPr>
          <w:rFonts w:ascii="Courier New" w:hAnsi="Courier New"/>
          <w:color w:val="1A1A1A"/>
          <w:sz w:val="16"/>
        </w:rPr>
        <w:t xml:space="preserve">GET /clients                                 </w:t>
      </w:r>
      <w:r>
        <w:rPr>
          <w:color w:val="4A4A4A"/>
          <w:sz w:val="18"/>
        </w:rPr>
        <w:t>List all clients (strategist only)</w:t>
      </w:r>
    </w:p>
    <w:p>
      <w:pPr>
        <w:spacing w:before="0" w:after="20"/>
        <w:ind w:left="432"/>
      </w:pPr>
      <w:r>
        <w:rPr>
          <w:rFonts w:ascii="Courier New" w:hAnsi="Courier New"/>
          <w:color w:val="1A1A1A"/>
          <w:sz w:val="16"/>
        </w:rPr>
        <w:t xml:space="preserve">POST /clients                                </w:t>
      </w:r>
      <w:r>
        <w:rPr>
          <w:color w:val="4A4A4A"/>
          <w:sz w:val="18"/>
        </w:rPr>
        <w:t>Create new client</w:t>
      </w:r>
    </w:p>
    <w:p>
      <w:pPr>
        <w:spacing w:before="0" w:after="20"/>
        <w:ind w:left="432"/>
      </w:pPr>
      <w:r>
        <w:rPr>
          <w:rFonts w:ascii="Courier New" w:hAnsi="Courier New"/>
          <w:color w:val="1A1A1A"/>
          <w:sz w:val="16"/>
        </w:rPr>
        <w:t xml:space="preserve">GET /clients/:id                             </w:t>
      </w:r>
      <w:r>
        <w:rPr>
          <w:color w:val="4A4A4A"/>
          <w:sz w:val="18"/>
        </w:rPr>
        <w:t>Get client record</w:t>
      </w:r>
    </w:p>
    <w:p>
      <w:pPr>
        <w:spacing w:before="120" w:after="20"/>
      </w:pPr>
      <w:r>
        <w:rPr>
          <w:b/>
          <w:color w:val="1A1A1A"/>
          <w:sz w:val="20"/>
        </w:rPr>
        <w:t>Engagements</w:t>
      </w:r>
    </w:p>
    <w:p>
      <w:pPr>
        <w:spacing w:before="0" w:after="20"/>
        <w:ind w:left="432"/>
      </w:pPr>
      <w:r>
        <w:rPr>
          <w:rFonts w:ascii="Courier New" w:hAnsi="Courier New"/>
          <w:color w:val="1A1A1A"/>
          <w:sz w:val="16"/>
        </w:rPr>
        <w:t xml:space="preserve">GET /clients/:id/engagements/current         </w:t>
      </w:r>
      <w:r>
        <w:rPr>
          <w:color w:val="4A4A4A"/>
          <w:sz w:val="18"/>
        </w:rPr>
        <w:t>Get current month engagement</w:t>
      </w:r>
    </w:p>
    <w:p>
      <w:pPr>
        <w:spacing w:before="0" w:after="20"/>
        <w:ind w:left="432"/>
      </w:pPr>
      <w:r>
        <w:rPr>
          <w:rFonts w:ascii="Courier New" w:hAnsi="Courier New"/>
          <w:color w:val="1A1A1A"/>
          <w:sz w:val="16"/>
        </w:rPr>
        <w:t xml:space="preserve">POST /clients/:id/engagements/:month/close   </w:t>
      </w:r>
      <w:r>
        <w:rPr>
          <w:color w:val="4A4A4A"/>
          <w:sz w:val="18"/>
        </w:rPr>
        <w:t>Trigger month close (strategist only)</w:t>
      </w:r>
    </w:p>
    <w:p>
      <w:pPr>
        <w:spacing w:before="120" w:after="20"/>
      </w:pPr>
      <w:r>
        <w:rPr>
          <w:b/>
          <w:color w:val="1A1A1A"/>
          <w:sz w:val="20"/>
        </w:rPr>
        <w:t>Intake</w:t>
      </w:r>
    </w:p>
    <w:p>
      <w:pPr>
        <w:spacing w:before="0" w:after="20"/>
        <w:ind w:left="432"/>
      </w:pPr>
      <w:r>
        <w:rPr>
          <w:rFonts w:ascii="Courier New" w:hAnsi="Courier New"/>
          <w:color w:val="1A1A1A"/>
          <w:sz w:val="16"/>
        </w:rPr>
        <w:t xml:space="preserve">POST /clients/:id/intake                     </w:t>
      </w:r>
      <w:r>
        <w:rPr>
          <w:color w:val="4A4A4A"/>
          <w:sz w:val="18"/>
        </w:rPr>
        <w:t>Create intake record</w:t>
      </w:r>
    </w:p>
    <w:p>
      <w:pPr>
        <w:spacing w:before="0" w:after="20"/>
        <w:ind w:left="432"/>
      </w:pPr>
      <w:r>
        <w:rPr>
          <w:rFonts w:ascii="Courier New" w:hAnsi="Courier New"/>
          <w:color w:val="1A1A1A"/>
          <w:sz w:val="16"/>
        </w:rPr>
        <w:t xml:space="preserve">PUT /clients/:id/intake/:version             </w:t>
      </w:r>
      <w:r>
        <w:rPr>
          <w:color w:val="4A4A4A"/>
          <w:sz w:val="18"/>
        </w:rPr>
        <w:t>Update intake (session in progress)</w:t>
      </w:r>
    </w:p>
    <w:p>
      <w:pPr>
        <w:spacing w:before="0" w:after="20"/>
        <w:ind w:left="432"/>
      </w:pPr>
      <w:r>
        <w:rPr>
          <w:rFonts w:ascii="Courier New" w:hAnsi="Courier New"/>
          <w:color w:val="1A1A1A"/>
          <w:sz w:val="16"/>
        </w:rPr>
        <w:t xml:space="preserve">POST /clients/:id/intake/:version/close      </w:t>
      </w:r>
      <w:r>
        <w:rPr>
          <w:color w:val="4A4A4A"/>
          <w:sz w:val="18"/>
        </w:rPr>
        <w:t>Lock intake record</w:t>
      </w:r>
    </w:p>
    <w:p>
      <w:pPr>
        <w:spacing w:before="120" w:after="20"/>
      </w:pPr>
      <w:r>
        <w:rPr>
          <w:b/>
          <w:color w:val="1A1A1A"/>
          <w:sz w:val="20"/>
        </w:rPr>
        <w:t>Dashboard</w:t>
      </w:r>
    </w:p>
    <w:p>
      <w:pPr>
        <w:spacing w:before="0" w:after="20"/>
        <w:ind w:left="432"/>
      </w:pPr>
      <w:r>
        <w:rPr>
          <w:rFonts w:ascii="Courier New" w:hAnsi="Courier New"/>
          <w:color w:val="1A1A1A"/>
          <w:sz w:val="16"/>
        </w:rPr>
        <w:t xml:space="preserve">GET /clients/:id/dashboard                   </w:t>
      </w:r>
      <w:r>
        <w:rPr>
          <w:color w:val="4A4A4A"/>
          <w:sz w:val="18"/>
        </w:rPr>
        <w:t>Returns client-safe dashboard data</w:t>
      </w:r>
    </w:p>
    <w:p>
      <w:pPr>
        <w:spacing w:before="0" w:after="20"/>
        <w:ind w:left="432"/>
      </w:pPr>
      <w:r>
        <w:rPr>
          <w:rFonts w:ascii="Courier New" w:hAnsi="Courier New"/>
          <w:color w:val="1A1A1A"/>
          <w:sz w:val="16"/>
        </w:rPr>
        <w:t xml:space="preserve">GET /clients/:id/dashboard/internal          </w:t>
      </w:r>
      <w:r>
        <w:rPr>
          <w:color w:val="4A4A4A"/>
          <w:sz w:val="18"/>
        </w:rPr>
        <w:t>Returns full internal dashboard (strategist only)</w:t>
      </w:r>
    </w:p>
    <w:p>
      <w:pPr>
        <w:spacing w:before="0" w:after="20"/>
        <w:ind w:left="432"/>
      </w:pPr>
      <w:r>
        <w:rPr>
          <w:rFonts w:ascii="Courier New" w:hAnsi="Courier New"/>
          <w:color w:val="1A1A1A"/>
          <w:sz w:val="16"/>
        </w:rPr>
        <w:t xml:space="preserve">PUT /clients/:id/channel-metrics/:month      </w:t>
      </w:r>
      <w:r>
        <w:rPr>
          <w:color w:val="4A4A4A"/>
          <w:sz w:val="18"/>
        </w:rPr>
        <w:t>Update channel metric</w:t>
      </w:r>
    </w:p>
    <w:p>
      <w:pPr>
        <w:spacing w:before="120" w:after="20"/>
      </w:pPr>
      <w:r>
        <w:rPr>
          <w:b/>
          <w:color w:val="1A1A1A"/>
          <w:sz w:val="20"/>
        </w:rPr>
        <w:t>Compounding Engine</w:t>
      </w:r>
    </w:p>
    <w:p>
      <w:pPr>
        <w:spacing w:before="0" w:after="20"/>
        <w:ind w:left="432"/>
      </w:pPr>
      <w:r>
        <w:rPr>
          <w:rFonts w:ascii="Courier New" w:hAnsi="Courier New"/>
          <w:color w:val="1A1A1A"/>
          <w:sz w:val="16"/>
        </w:rPr>
        <w:t xml:space="preserve">GET /clients/:id/compound-scores/latest      </w:t>
      </w:r>
      <w:r>
        <w:rPr>
          <w:color w:val="4A4A4A"/>
          <w:sz w:val="18"/>
        </w:rPr>
        <w:t>Get latest score and recommendations</w:t>
      </w:r>
    </w:p>
    <w:p>
      <w:pPr>
        <w:spacing w:before="0" w:after="20"/>
        <w:ind w:left="432"/>
      </w:pPr>
      <w:r>
        <w:rPr>
          <w:rFonts w:ascii="Courier New" w:hAnsi="Courier New"/>
          <w:color w:val="1A1A1A"/>
          <w:sz w:val="16"/>
        </w:rPr>
        <w:t xml:space="preserve">POST /clients/:id/compound-scores/run        </w:t>
      </w:r>
      <w:r>
        <w:rPr>
          <w:color w:val="4A4A4A"/>
          <w:sz w:val="18"/>
        </w:rPr>
        <w:t>Manual trigger (month must be closed)</w:t>
      </w:r>
    </w:p>
    <w:p>
      <w:pPr>
        <w:spacing w:before="120" w:after="20"/>
      </w:pPr>
      <w:r>
        <w:rPr>
          <w:b/>
          <w:color w:val="1A1A1A"/>
          <w:sz w:val="20"/>
        </w:rPr>
        <w:t>Escalation Router</w:t>
      </w:r>
    </w:p>
    <w:p>
      <w:pPr>
        <w:spacing w:before="0" w:after="20"/>
        <w:ind w:left="432"/>
      </w:pPr>
      <w:r>
        <w:rPr>
          <w:rFonts w:ascii="Courier New" w:hAnsi="Courier New"/>
          <w:color w:val="1A1A1A"/>
          <w:sz w:val="16"/>
        </w:rPr>
        <w:t xml:space="preserve">POST /clients/:id/escalation-briefs          </w:t>
      </w:r>
      <w:r>
        <w:rPr>
          <w:color w:val="4A4A4A"/>
          <w:sz w:val="18"/>
        </w:rPr>
        <w:t>Run router with input payload — returns both briefs</w:t>
      </w:r>
    </w:p>
    <w:p>
      <w:pPr>
        <w:spacing w:before="0" w:after="20"/>
        <w:ind w:left="432"/>
      </w:pPr>
      <w:r>
        <w:rPr>
          <w:rFonts w:ascii="Courier New" w:hAnsi="Courier New"/>
          <w:color w:val="1A1A1A"/>
          <w:sz w:val="16"/>
        </w:rPr>
        <w:t xml:space="preserve">GET /clients/:id/escalation-briefs           </w:t>
      </w:r>
      <w:r>
        <w:rPr>
          <w:color w:val="4A4A4A"/>
          <w:sz w:val="18"/>
        </w:rPr>
        <w:t>List brief history</w:t>
      </w:r>
    </w:p>
    <w:p>
      <w:pPr>
        <w:spacing w:before="120" w:after="20"/>
      </w:pPr>
      <w:r>
        <w:rPr>
          <w:b/>
          <w:color w:val="1A1A1A"/>
          <w:sz w:val="20"/>
        </w:rPr>
        <w:t>Credit Allocation</w:t>
      </w:r>
    </w:p>
    <w:p>
      <w:pPr>
        <w:spacing w:before="0" w:after="20"/>
        <w:ind w:left="432"/>
      </w:pPr>
      <w:r>
        <w:rPr>
          <w:rFonts w:ascii="Courier New" w:hAnsi="Courier New"/>
          <w:color w:val="1A1A1A"/>
          <w:sz w:val="16"/>
        </w:rPr>
        <w:t xml:space="preserve">GET /clients/:id/allocation-plans/:month     </w:t>
      </w:r>
      <w:r>
        <w:rPr>
          <w:color w:val="4A4A4A"/>
          <w:sz w:val="18"/>
        </w:rPr>
        <w:t>Get allocation plan</w:t>
      </w:r>
    </w:p>
    <w:p>
      <w:pPr>
        <w:spacing w:before="0" w:after="20"/>
        <w:ind w:left="432"/>
      </w:pPr>
      <w:r>
        <w:rPr>
          <w:rFonts w:ascii="Courier New" w:hAnsi="Courier New"/>
          <w:color w:val="1A1A1A"/>
          <w:sz w:val="16"/>
        </w:rPr>
        <w:t>PUT /clients/:id/allocation-plans/:id/initiatives</w:t>
      </w:r>
      <w:r>
        <w:rPr>
          <w:color w:val="4A4A4A"/>
          <w:sz w:val="18"/>
        </w:rPr>
        <w:t>Update initiatives</w:t>
      </w:r>
    </w:p>
    <w:p>
      <w:pPr>
        <w:spacing w:before="0" w:after="20"/>
        <w:ind w:left="432"/>
      </w:pPr>
      <w:r>
        <w:rPr>
          <w:rFonts w:ascii="Courier New" w:hAnsi="Courier New"/>
          <w:color w:val="1A1A1A"/>
          <w:sz w:val="16"/>
        </w:rPr>
        <w:t>POST /clients/:id/allocation-plans/:id/auto-balance</w:t>
      </w:r>
      <w:r>
        <w:rPr>
          <w:color w:val="4A4A4A"/>
          <w:sz w:val="18"/>
        </w:rPr>
        <w:t>Trigger auto-balance</w:t>
      </w:r>
    </w:p>
    <w:p>
      <w:pPr>
        <w:spacing w:before="0" w:after="20"/>
        <w:ind w:left="432"/>
      </w:pPr>
      <w:r>
        <w:rPr>
          <w:rFonts w:ascii="Courier New" w:hAnsi="Courier New"/>
          <w:color w:val="1A1A1A"/>
          <w:sz w:val="16"/>
        </w:rPr>
        <w:t>POST /clients/:id/allocation-plans/:id/export</w:t>
      </w:r>
      <w:r>
        <w:rPr>
          <w:color w:val="4A4A4A"/>
          <w:sz w:val="18"/>
        </w:rPr>
        <w:t>Generate and store PDF briefs</w:t>
      </w:r>
    </w:p>
    <w:p>
      <w:pPr>
        <w:spacing w:before="160" w:after="40"/>
      </w:pPr>
      <w:r>
        <w:rPr>
          <w:rFonts w:ascii="Courier New" w:hAnsi="Courier New"/>
          <w:b/>
          <w:color w:val="C8E000"/>
          <w:sz w:val="16"/>
        </w:rPr>
        <w:t>RECOMMENDED BUILD SEQUENCE (16 WEEKS)</w:t>
      </w:r>
    </w:p>
    <w:p>
      <w:pPr>
        <w:spacing w:before="0" w:after="100"/>
      </w:pPr>
      <w:r>
        <w:rPr>
          <w:b/>
          <w:color w:val="1A1A1A"/>
          <w:sz w:val="20"/>
        </w:rPr>
        <w:t xml:space="preserve">Phase 1 — Foundation (Weeks 1–4). </w:t>
      </w:r>
      <w:r>
        <w:rPr>
          <w:color w:val="4A4A4A"/>
          <w:sz w:val="20"/>
        </w:rPr>
        <w:t>Database schema and migrations. Authentication system (strategist + client roles). Client and Engagement CRUD. Intake record model and API.</w:t>
      </w:r>
    </w:p>
    <w:p>
      <w:pPr>
        <w:spacing w:before="0" w:after="100"/>
      </w:pPr>
      <w:r>
        <w:rPr>
          <w:b/>
          <w:color w:val="1A1A1A"/>
          <w:sz w:val="20"/>
        </w:rPr>
        <w:t xml:space="preserve">Phase 2 — Core Loop (Weeks 5–8). </w:t>
      </w:r>
      <w:r>
        <w:rPr>
          <w:color w:val="4A4A4A"/>
          <w:sz w:val="20"/>
        </w:rPr>
        <w:t>Growth Dashboard (both tabs, live data). Channel Metrics entry and storage. Credit Allocation tool (full CRUD, lock/pause/auto-balance). Brief export via Puppeteer.</w:t>
      </w:r>
    </w:p>
    <w:p>
      <w:pPr>
        <w:spacing w:before="0" w:after="100"/>
      </w:pPr>
      <w:r>
        <w:rPr>
          <w:b/>
          <w:color w:val="1A1A1A"/>
          <w:sz w:val="20"/>
        </w:rPr>
        <w:t xml:space="preserve">Phase 3 — Intelligence Layer (Weeks 9–12). </w:t>
      </w:r>
      <w:r>
        <w:rPr>
          <w:color w:val="4A4A4A"/>
          <w:sz w:val="20"/>
        </w:rPr>
        <w:t>Compounding Engine (four signal computation jobs). Recommendation rules engine. Month-close event pipeline. Playbook pre-population.</w:t>
      </w:r>
    </w:p>
    <w:p>
      <w:pPr>
        <w:spacing w:before="0" w:after="100"/>
      </w:pPr>
      <w:r>
        <w:rPr>
          <w:b/>
          <w:color w:val="1A1A1A"/>
          <w:sz w:val="20"/>
        </w:rPr>
        <w:t xml:space="preserve">Phase 4 — Routing &amp; Polish (Weeks 13–16). </w:t>
      </w:r>
      <w:r>
        <w:rPr>
          <w:color w:val="4A4A4A"/>
          <w:sz w:val="20"/>
        </w:rPr>
        <w:t>Escalation Router (scoring logic, dual-brief generation). Client portal (client-facing views, magic link auth). Mid-month mode and delta tracking. End-to-end testing across full monthly loop.</w:t>
      </w:r>
    </w:p>
    <w:p>
      <w:pPr>
        <w:spacing w:before="160" w:after="40"/>
      </w:pPr>
      <w:r>
        <w:rPr>
          <w:rFonts w:ascii="Courier New" w:hAnsi="Courier New"/>
          <w:b/>
          <w:color w:val="C8E000"/>
          <w:sz w:val="16"/>
        </w:rPr>
        <w:t>WHAT THE HTML PROTOTYPES DEFINE</w:t>
      </w:r>
    </w:p>
    <w:p>
      <w:pPr>
        <w:spacing w:before="0" w:after="120"/>
      </w:pPr>
      <w:r>
        <w:rPr>
          <w:color w:val="4A4A4A"/>
          <w:sz w:val="20"/>
        </w:rPr>
        <w:t>The five HTML prototypes define the complete UX and data logic for each tool. The engineering team should treat these as the functional specification for each interface. The production system replicates this behaviour with a real database, real API calls, and real authentication. The UX does not need to be redesigned — the goal is to make it production-ready, not to change what works.</w:t>
      </w:r>
    </w:p>
    <w:p>
      <w:pPr>
        <w:spacing w:before="40" w:after="40"/>
        <w:ind w:left="432"/>
      </w:pPr>
      <w:r>
        <w:rPr>
          <w:rFonts w:ascii="Courier New" w:hAnsi="Courier New"/>
          <w:b/>
          <w:color w:val="1A1A1A"/>
          <w:sz w:val="18"/>
        </w:rPr>
        <w:t xml:space="preserve">Onboarding Intake     </w:t>
      </w:r>
      <w:r>
        <w:rPr>
          <w:rFonts w:ascii="Courier New" w:hAnsi="Courier New"/>
          <w:color w:val="4A4A4A"/>
          <w:sz w:val="18"/>
        </w:rPr>
        <w:t>rubencollin.github.io/gritfuel-intakeform-example/</w:t>
      </w:r>
    </w:p>
    <w:p>
      <w:pPr>
        <w:spacing w:before="40" w:after="40"/>
        <w:ind w:left="432"/>
      </w:pPr>
      <w:r>
        <w:rPr>
          <w:rFonts w:ascii="Courier New" w:hAnsi="Courier New"/>
          <w:b/>
          <w:color w:val="1A1A1A"/>
          <w:sz w:val="18"/>
        </w:rPr>
        <w:t xml:space="preserve">Compounding Engine    </w:t>
      </w:r>
      <w:r>
        <w:rPr>
          <w:rFonts w:ascii="Courier New" w:hAnsi="Courier New"/>
          <w:color w:val="4A4A4A"/>
          <w:sz w:val="18"/>
        </w:rPr>
        <w:t>rubencollin.github.io/gritfuel-compounding-process/</w:t>
      </w:r>
    </w:p>
    <w:p>
      <w:pPr>
        <w:spacing w:before="40" w:after="40"/>
        <w:ind w:left="432"/>
      </w:pPr>
      <w:r>
        <w:rPr>
          <w:rFonts w:ascii="Courier New" w:hAnsi="Courier New"/>
          <w:b/>
          <w:color w:val="1A1A1A"/>
          <w:sz w:val="18"/>
        </w:rPr>
        <w:t xml:space="preserve">Escalation Router     </w:t>
      </w:r>
      <w:r>
        <w:rPr>
          <w:rFonts w:ascii="Courier New" w:hAnsi="Courier New"/>
          <w:color w:val="4A4A4A"/>
          <w:sz w:val="18"/>
        </w:rPr>
        <w:t>rubencollin.github.io/gritfuel-escalation-router/</w:t>
      </w:r>
    </w:p>
    <w:p>
      <w:pPr>
        <w:spacing w:before="40" w:after="40"/>
        <w:ind w:left="432"/>
      </w:pPr>
      <w:r>
        <w:rPr>
          <w:rFonts w:ascii="Courier New" w:hAnsi="Courier New"/>
          <w:b/>
          <w:color w:val="1A1A1A"/>
          <w:sz w:val="18"/>
        </w:rPr>
        <w:t xml:space="preserve">Credit Allocation     </w:t>
      </w:r>
      <w:r>
        <w:rPr>
          <w:rFonts w:ascii="Courier New" w:hAnsi="Courier New"/>
          <w:color w:val="4A4A4A"/>
          <w:sz w:val="18"/>
        </w:rPr>
        <w:t>rubencollin.github.io/gritfuel-credit-allocation/</w:t>
      </w:r>
    </w:p>
    <w:p>
      <w:pPr>
        <w:spacing w:before="40" w:after="40"/>
        <w:ind w:left="432"/>
      </w:pPr>
      <w:r>
        <w:rPr>
          <w:rFonts w:ascii="Courier New" w:hAnsi="Courier New"/>
          <w:b/>
          <w:color w:val="1A1A1A"/>
          <w:sz w:val="18"/>
        </w:rPr>
        <w:t xml:space="preserve">Growth Dashboard      </w:t>
      </w:r>
      <w:r>
        <w:rPr>
          <w:rFonts w:ascii="Courier New" w:hAnsi="Courier New"/>
          <w:color w:val="4A4A4A"/>
          <w:sz w:val="18"/>
        </w:rPr>
        <w:t>See: 09. GritFuel Growth Dashboard — Momentum Sports BV.pdf (mock-up)</w:t>
      </w:r>
    </w:p>
    <w:p>
      <w:pPr>
        <w:spacing w:before="120" w:after="200"/>
      </w:pPr>
      <w:r>
        <w:rPr>
          <w:color w:val="CCCCCC"/>
          <w:sz w:val="14"/>
        </w:rPr>
        <w:t>────────────────────────────────────────────────────────────────────────────────</w:t>
      </w:r>
    </w:p>
    <w:p>
      <w:pPr>
        <w:spacing w:before="200" w:after="40"/>
      </w:pPr>
      <w:r>
        <w:rPr>
          <w:color w:val="888888"/>
          <w:sz w:val="18"/>
        </w:rPr>
        <w:t>GritFuel · GritFuel OS v1.0 · April 2026 · Confidential</w:t>
      </w:r>
    </w:p>
    <w:p>
      <w:pPr>
        <w:spacing w:before="0"/>
      </w:pPr>
      <w:r>
        <w:rPr>
          <w:color w:val="888888"/>
          <w:sz w:val="18"/>
        </w:rPr>
        <w:t>gritfuel.works · hello@gritfuel.works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