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MASTER SERVICES AGREEMENT</w:t>
      </w:r>
    </w:p>
    <w:p>
      <w:pPr>
        <w:spacing w:after="160"/>
        <w:jc w:val="center"/>
      </w:pPr>
      <w:r>
        <w:rPr>
          <w:i/>
          <w:iCs/>
          <w:sz w:val="20"/>
          <w:szCs w:val="20"/>
        </w:rPr>
        <w:t xml:space="preserve">relating to the supply and implementation of a retail inventory and EPOS platform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Date:</w:t>
      </w:r>
      <w:r>
        <w:t xml:space="preserve">	</w:t>
      </w:r>
      <w:r>
        <w:t xml:space="preserve">14 March 2024</w:t>
      </w:r>
    </w:p>
    <w:p>
      <w:pPr>
        <w:tabs>
          <w:tab w:val="left" w:pos="1500"/>
        </w:tabs>
        <w:spacing w:after="60"/>
      </w:pPr>
      <w:r>
        <w:rPr>
          <w:b/>
          <w:bCs/>
        </w:rPr>
        <w:t xml:space="preserve">Parties:</w:t>
      </w:r>
      <w:r>
        <w:t xml:space="preserve">	</w:t>
      </w:r>
      <w:r>
        <w:t xml:space="preserve"/>
      </w:r>
    </w:p>
    <w:p>
      <w:pPr>
        <w:spacing w:after="140"/>
      </w:pPr>
      <w:r>
        <w:rPr>
          <w:b/>
          <w:bCs/>
        </w:rPr>
        <w:t xml:space="preserve">(1)  MERIDIAN RETAIL GROUP PLC</w:t>
      </w:r>
      <w:r>
        <w:t xml:space="preserve"> (company no. 03992145) of Meridian House, 40 Kingsway, London WC2B 6EX ("the Customer"); and</w:t>
      </w:r>
    </w:p>
    <w:p>
      <w:pPr>
        <w:spacing w:after="140"/>
      </w:pPr>
      <w:r>
        <w:rPr>
          <w:b/>
          <w:bCs/>
        </w:rPr>
        <w:t xml:space="preserve">(2)  TECHFLOW SOLUTIONS LIMITED</w:t>
      </w:r>
      <w:r>
        <w:t xml:space="preserve"> (company no. 07781230) of Optimum Park, 12 Brindley Way, Reading RG1 8DF ("the Supplier").</w:t>
      </w:r>
    </w:p>
    <w:p>
      <w:pPr>
        <w:pStyle w:val="Heading2"/>
      </w:pPr>
      <w:r>
        <w:t xml:space="preserve">1.  Definitions and scope</w:t>
      </w:r>
    </w:p>
    <w:p>
      <w:pPr>
        <w:spacing w:after="140"/>
      </w:pPr>
      <w:r>
        <w:t xml:space="preserve">1.1  The Supplier shall design, build, configure, test and implement the cloud-based inventory management and EPOS platform ("the Platform") in accordance with the Statement of Work set out at Schedule 1 (the "SOW").</w:t>
      </w:r>
    </w:p>
    <w:p>
      <w:pPr>
        <w:spacing w:after="140"/>
      </w:pPr>
      <w:r>
        <w:t xml:space="preserve">1.2  The Supplier shall perform the Services with reasonable skill and care and in accordance with good industry practice.</w:t>
      </w:r>
    </w:p>
    <w:p>
      <w:pPr>
        <w:pStyle w:val="Heading2"/>
      </w:pPr>
      <w:r>
        <w:t xml:space="preserve">2.  Charges</w:t>
      </w:r>
    </w:p>
    <w:p>
      <w:pPr>
        <w:spacing w:after="140"/>
      </w:pPr>
      <w:r>
        <w:t xml:space="preserve">2.1  The total charges for the Services are £2,400,000 (excluding VAT), payable against the milestones set out in the SOW and as may be varied by agreement in writing.</w:t>
      </w:r>
    </w:p>
    <w:p>
      <w:pPr>
        <w:pStyle w:val="Heading2"/>
      </w:pPr>
      <w:r>
        <w:t xml:space="preserve">3.  Timetable and change control</w:t>
      </w:r>
    </w:p>
    <w:p>
      <w:pPr>
        <w:spacing w:after="140"/>
      </w:pPr>
      <w:r>
        <w:t xml:space="preserve">3.1  The Supplier shall use reasonable endeavours to achieve the target go-live date stated in the SOW. The parties acknowledge that the implementation timetable is a planning estimate and may be adjusted through the change control procedure.</w:t>
      </w:r>
    </w:p>
    <w:p>
      <w:pPr>
        <w:spacing w:after="140"/>
      </w:pPr>
      <w:r>
        <w:t xml:space="preserve">3.2  Any change to the scope, deliverables or timetable shall be agreed in writing by both parties by means of a signed Change Order. A signed Change Order varies this Agreement to the extent stated in it.</w:t>
      </w:r>
    </w:p>
    <w:p>
      <w:pPr>
        <w:pStyle w:val="Heading2"/>
      </w:pPr>
      <w:r>
        <w:t xml:space="preserve">14.  Limitation of liability</w:t>
      </w:r>
    </w:p>
    <w:p>
      <w:pPr>
        <w:spacing w:after="140"/>
      </w:pPr>
      <w:r>
        <w:t xml:space="preserve">14.1  Subject to clause 14.3, the Supplier shall not be liable to the Customer, whether in contract, tort (including negligence) or otherwise, for any </w:t>
      </w:r>
      <w:r>
        <w:rPr>
          <w:b/>
          <w:bCs/>
        </w:rPr>
        <w:t xml:space="preserve">loss of profit, loss of revenue, loss of anticipated savings, or any indirect or consequential loss</w:t>
      </w:r>
      <w:r>
        <w:t xml:space="preserve">.</w:t>
      </w:r>
    </w:p>
    <w:p>
      <w:pPr>
        <w:spacing w:after="140"/>
      </w:pPr>
      <w:r>
        <w:t xml:space="preserve">14.2  Subject to clause 14.3, the Supplier’s total aggregate liability arising under or in connection with this Agreement shall </w:t>
      </w:r>
      <w:r>
        <w:rPr>
          <w:b/>
          <w:bCs/>
        </w:rPr>
        <w:t xml:space="preserve">not exceed the total charges actually paid by the Customer under this Agreement</w:t>
      </w:r>
      <w:r>
        <w:t xml:space="preserve"> in the twelve months preceding the event giving rise to the claim.</w:t>
      </w:r>
    </w:p>
    <w:p>
      <w:pPr>
        <w:spacing w:after="140"/>
      </w:pPr>
      <w:r>
        <w:t xml:space="preserve">14.3  Nothing in this Agreement limits liability for death or personal injury caused by negligence, for fraud, or for any other liability that cannot lawfully be excluded.</w:t>
      </w:r>
    </w:p>
    <w:p>
      <w:pPr>
        <w:pStyle w:val="Heading2"/>
      </w:pPr>
      <w:r>
        <w:t xml:space="preserve">22.  Entire agreement</w:t>
      </w:r>
    </w:p>
    <w:p>
      <w:pPr>
        <w:spacing w:after="140"/>
      </w:pPr>
      <w:r>
        <w:t xml:space="preserve">22.1  This Agreement, together with its Schedules, constitutes the </w:t>
      </w:r>
      <w:r>
        <w:rPr>
          <w:b/>
          <w:bCs/>
        </w:rPr>
        <w:t xml:space="preserve">entire agreement</w:t>
      </w:r>
      <w:r>
        <w:t xml:space="preserve"> between the parties and supersedes all prior representations, statements or agreements, whether written or oral. </w:t>
      </w:r>
    </w:p>
    <w:p>
      <w:pPr>
        <w:spacing w:after="140"/>
      </w:pPr>
      <w:r>
        <w:t xml:space="preserve">22.2  Each party acknowledges that it has not relied on, and shall have no remedy in respect of, any representation or statement </w:t>
      </w:r>
      <w:r>
        <w:rPr>
          <w:b/>
          <w:bCs/>
        </w:rPr>
        <w:t xml:space="preserve">not expressly set out in this Agreement</w:t>
      </w:r>
      <w:r>
        <w:t xml:space="preserve"> (save in the case of fraud).</w:t>
      </w:r>
    </w:p>
    <w:p>
      <w:pPr>
        <w:pStyle w:val="Heading2"/>
      </w:pPr>
      <w:r>
        <w:t xml:space="preserve">25.  Governing law and jurisdiction</w:t>
      </w:r>
    </w:p>
    <w:p>
      <w:pPr>
        <w:spacing w:after="140"/>
      </w:pPr>
      <w:r>
        <w:t xml:space="preserve">25.1  This Agreement is governed by the law of England and Wales, and the parties submit to the exclusive jurisdiction of the courts of England and Wales.</w:t>
      </w:r>
    </w:p>
    <w:p>
      <w:pPr>
        <w:spacing w:after="160"/>
      </w:pPr>
      <w:r>
        <w:t xml:space="preserve"/>
      </w:r>
    </w:p>
    <w:tbl>
      <w:tblPr>
        <w:tblW w:type="dxa" w:w="90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9"/>
        <w:gridCol w:w="4509"/>
      </w:tblGrid>
      <w:tr>
        <w:tc>
          <w:tcPr>
            <w:tcW w:type="dxa" w:w="450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Signed for and on behalf of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MERIDIAN RETAIL GROUP PLC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>....................................</w:t>
            </w:r>
          </w:p>
          <w:p>
            <w:pPr>
              <w:spacing w:after="0"/>
            </w:pPr>
            <w:r>
              <w:t xml:space="preserve">Name: Priya Nair</w:t>
            </w:r>
          </w:p>
          <w:p>
            <w:pPr>
              <w:spacing w:after="0"/>
            </w:pPr>
            <w:r>
              <w:t xml:space="preserve">Title: Head of Procurement</w:t>
            </w:r>
          </w:p>
        </w:tc>
        <w:tc>
          <w:tcPr>
            <w:tcW w:type="dxa" w:w="450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Signed for and on behalf of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TECHFLOW SOLUTIONS LIMITED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0"/>
            </w:pPr>
            <w:r>
              <w:t xml:space="preserve">....................................</w:t>
            </w:r>
          </w:p>
          <w:p>
            <w:pPr>
              <w:spacing w:after="0"/>
            </w:pPr>
            <w:r>
              <w:t xml:space="preserve">Name: Gregory Manton</w:t>
            </w:r>
          </w:p>
          <w:p>
            <w:pPr>
              <w:spacing w:after="0"/>
            </w:pPr>
            <w:r>
              <w:t xml:space="preserve">Title: Commercial Director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Master Services Agreement — 14 March 2024  —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2026-06-26T17:01:58.954Z</dcterms:created>
  <dcterms:modified xsi:type="dcterms:W3CDTF">2026-06-26T17:01:58.954Z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