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SCHEDULE 1 — STATEMENT OF WORK (SOW-01)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 the Master Services Agreement dated 14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 Scope</w:t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rtl w:val="0"/>
        </w:rPr>
        <w:t xml:space="preserve">1.1  The Supplier shall deliver the Platform in two phases: Phase 1 (core inventory and EPOS); Phase 2 (reporting and analytics). The agreed scope does not include a customer loyalty module.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 Implementation timetable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sign-off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 April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Build complete (Phase 1)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31 July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13 September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Go-live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  <w:t xml:space="preserve"> date)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October 2024</w:t>
            </w:r>
          </w:p>
        </w:tc>
      </w:tr>
    </w:tbl>
    <w:p w:rsidR="00000000" w:rsidDel="00000000" w:rsidP="00000000" w:rsidRDefault="00000000" w:rsidRPr="00000000" w14:paraId="00000015">
      <w:pPr>
        <w:spacing w:after="140" w:before="120" w:lineRule="auto"/>
        <w:rPr/>
      </w:pPr>
      <w:r w:rsidDel="00000000" w:rsidR="00000000" w:rsidRPr="00000000">
        <w:rPr>
          <w:rtl w:val="0"/>
        </w:rPr>
        <w:t xml:space="preserve">2.1  The go-live date of 1 October 2024 is a </w:t>
      </w:r>
      <w:r w:rsidDel="00000000" w:rsidR="00000000" w:rsidRPr="00000000">
        <w:rPr>
          <w:b w:val="1"/>
          <w:bCs w:val="1"/>
          <w:rtl w:val="0"/>
        </w:rPr>
        <w:t xml:space="preserve">target date</w:t>
      </w:r>
      <w:r w:rsidDel="00000000" w:rsidR="00000000" w:rsidRPr="00000000">
        <w:rPr>
          <w:rtl w:val="0"/>
        </w:rPr>
        <w:t xml:space="preserve">. The detailed implementation plan is a planning estimate and is subject to the change control procedure in clause 3 of the MSA.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 Responsibilities of the Customer</w:t>
      </w:r>
    </w:p>
    <w:p w:rsidR="00000000" w:rsidDel="00000000" w:rsidP="00000000" w:rsidRDefault="00000000" w:rsidRPr="00000000" w14:paraId="00000017">
      <w:pPr>
        <w:spacing w:after="140" w:lineRule="auto"/>
        <w:rPr/>
      </w:pPr>
      <w:r w:rsidDel="00000000" w:rsidR="00000000" w:rsidRPr="00000000">
        <w:rPr>
          <w:rtl w:val="0"/>
        </w:rPr>
        <w:t xml:space="preserve">3.1  The Customer shall provide timely access to data, systems, and personnel, and shall procure and maintain adequate in-store network connectivity.</w:t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  <w:t xml:space="preserve">3.2  </w:t>
      </w:r>
      <w:r w:rsidDel="00000000" w:rsidR="00000000" w:rsidRPr="00000000">
        <w:rPr>
          <w:b w:val="1"/>
          <w:bCs w:val="1"/>
          <w:rtl w:val="0"/>
        </w:rPr>
        <w:t xml:space="preserve">Training of the Customer’s store and head-office staff in the use of the Platform is the responsibility of the Customer</w:t>
      </w:r>
      <w:r w:rsidDel="00000000" w:rsidR="00000000" w:rsidRPr="00000000">
        <w:rPr>
          <w:rtl w:val="0"/>
        </w:rPr>
        <w:t xml:space="preserve">. The Supplier shall provide a train-the-trainer session and written user guides only.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4.  Payment milestones</w:t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rtl w:val="0"/>
        </w:rPr>
        <w:t xml:space="preserve">4.1  Charges are payable 25% on each of M1, M2, M3 and M4, subject to any variation agreed under the change control procedure.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Statement of Work SOW-01  — 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Ug2uGv986IIiNaj0UpDstbZKRA==">CgMxLjA4AHIhMXA1by1qbUVGOGlydGEwSjQ5RXF5U3RGekY2YjVNUnAt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