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CHANGE ORDER No. 3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under the change control procedure (clause 3, MSA dated 14 March 2024)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Change Order Ref:</w:t>
      </w:r>
      <w:r>
        <w:t xml:space="preserve">	</w:t>
      </w:r>
      <w:r>
        <w:t xml:space="preserve">MRG-TF-CO-003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Date:</w:t>
      </w:r>
      <w:r>
        <w:t xml:space="preserve">	</w:t>
      </w:r>
      <w:r>
        <w:t xml:space="preserve">2 September 2024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Requested by:</w:t>
      </w:r>
      <w:r>
        <w:t xml:space="preserve">	</w:t>
      </w:r>
      <w:r>
        <w:t xml:space="preserve">Helena Vance, Programme Director, Meridian Retail Group plc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  Description of change</w:t>
      </w:r>
    </w:p>
    <w:p>
      <w:pPr>
        <w:spacing w:after="140"/>
      </w:pPr>
      <w:r>
        <w:t xml:space="preserve">1.1  At the Customer’s request, the Supplier shall design, build and implement a </w:t>
      </w:r>
      <w:r>
        <w:rPr>
          <w:b/>
          <w:bCs/>
        </w:rPr>
        <w:t xml:space="preserve">customer loyalty module</w:t>
      </w:r>
      <w:r>
        <w:t xml:space="preserve"> ("the Loyalty Module"), comprising points accrual, redemption at EPOS, and a loyalty member database. The Loyalty Module was not part of the original scope under SOW-01.</w:t>
      </w:r>
    </w:p>
    <w:p>
      <w:pPr>
        <w:pStyle w:val="Heading2"/>
      </w:pPr>
      <w:r>
        <w:t xml:space="preserve">2.  Effect on timetable</w:t>
      </w:r>
    </w:p>
    <w:p>
      <w:pPr>
        <w:spacing w:after="140"/>
      </w:pPr>
      <w:r>
        <w:t xml:space="preserve">2.1  The parties agree that, to accommodate the additional works, the </w:t>
      </w:r>
      <w:r>
        <w:rPr>
          <w:b/>
          <w:bCs/>
        </w:rPr>
        <w:t xml:space="preserve">go-live date is revised from 1 October 2024 to 18 November 2024</w:t>
      </w:r>
      <w:r>
        <w:t xml:space="preserve">. The revised date applies to the Platform as a whole.</w:t>
      </w:r>
    </w:p>
    <w:p>
      <w:pPr>
        <w:pStyle w:val="Heading2"/>
      </w:pPr>
      <w:r>
        <w:t xml:space="preserve">3.  Effect on charges</w:t>
      </w:r>
    </w:p>
    <w:p>
      <w:pPr>
        <w:spacing w:after="140"/>
      </w:pPr>
      <w:r>
        <w:t xml:space="preserve">3.1  The additional charge for the Loyalty Module is £180,000, payable on go-live.</w:t>
      </w:r>
    </w:p>
    <w:p>
      <w:pPr>
        <w:spacing w:after="160"/>
      </w:pPr>
      <w:r>
        <w:t xml:space="preserve"/>
      </w:r>
    </w:p>
    <w:p>
      <w:pPr>
        <w:spacing w:after="140"/>
      </w:pPr>
      <w:r>
        <w:t xml:space="preserve">Agreed and signed by the parties:</w:t>
      </w:r>
    </w:p>
    <w:p>
      <w:pPr>
        <w:spacing w:after="120"/>
      </w:pPr>
      <w:r>
        <w:t xml:space="preserve"/>
      </w:r>
    </w:p>
    <w:tbl>
      <w:tblPr>
        <w:tblW w:type="dxa" w:w="90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9"/>
        <w:gridCol w:w="4509"/>
      </w:tblGrid>
      <w:tr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 the Customer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>....................................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Name: Priya Nair</w:t>
            </w:r>
          </w:p>
          <w:p>
            <w:pPr>
              <w:spacing w:after="0"/>
            </w:pPr>
            <w:r>
              <w:t xml:space="preserve">Title: Head of Procurement</w:t>
            </w:r>
          </w:p>
          <w:p>
            <w:pPr>
              <w:spacing w:after="0"/>
            </w:pPr>
            <w:r>
              <w:t xml:space="preserve">Date: 2 September 2024</w:t>
            </w:r>
          </w:p>
        </w:tc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 the Supplier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>....................................</w:t>
            </w:r>
          </w:p>
          <w:p>
            <w:pPr>
              <w:spacing w:after="0"/>
            </w:pPr>
            <w:r>
              <w:t xml:space="preserve">Name: Marcus Reilly</w:t>
            </w:r>
          </w:p>
          <w:p>
            <w:pPr>
              <w:spacing w:after="0"/>
            </w:pPr>
            <w:r>
              <w:t xml:space="preserve">Title: Project Director</w:t>
            </w:r>
          </w:p>
          <w:p>
            <w:pPr>
              <w:spacing w:after="0"/>
            </w:pPr>
            <w:r>
              <w:t xml:space="preserve">Date: 2 September 2024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Change Order No. 3 — MRG-TF-CO-003  —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2026-06-26T17:01:59.350Z</dcterms:created>
  <dcterms:modified xsi:type="dcterms:W3CDTF">2026-06-26T17:01:59.350Z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