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</w:rPr>
        <w:t xml:space="preserve">Claim No. HT-2025-000231</w:t>
      </w:r>
    </w:p>
    <w:p>
      <w:pPr>
        <w:spacing w:after="120"/>
        <w:jc w:val="center"/>
      </w:pPr>
      <w:r>
        <w:rPr>
          <w:sz w:val="18"/>
          <w:szCs w:val="18"/>
        </w:rPr>
        <w:t xml:space="preserve">Expert evidence (CPR Part 35)  |  Forensic Accounting / Quantum  |  24 April 2026</w:t>
      </w:r>
    </w:p>
    <w:p>
      <w:pPr>
        <w:spacing w:after="80"/>
        <w:jc w:val="right"/>
      </w:pPr>
      <w:r>
        <w:rPr>
          <w:b/>
          <w:bCs/>
        </w:rPr>
        <w:t xml:space="preserve">Claim No. HT-2025-000231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IN THE HIGH COURT OF JUSTICE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BUSINESS AND PROPERTY COURTS OF ENGLAND AND WALES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TECHNOLOGY AND CONSTRUCTION COURT (KBD)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 E T W E E N :</w:t>
      </w:r>
    </w:p>
    <w:p>
      <w:pPr>
        <w:spacing w:after="60"/>
        <w:jc w:val="center"/>
      </w:pPr>
      <w:r>
        <w:rPr>
          <w:b/>
          <w:bCs/>
        </w:rPr>
        <w:t xml:space="preserve">MERIDIAN RETAIL GROUP PLC</w:t>
      </w:r>
    </w:p>
    <w:p>
      <w:pPr>
        <w:spacing w:after="60"/>
        <w:jc w:val="right"/>
      </w:pPr>
      <w:r>
        <w:rPr>
          <w:b/>
          <w:bCs/>
        </w:rPr>
        <w:t xml:space="preserve">Claimant</w:t>
      </w:r>
    </w:p>
    <w:p>
      <w:pPr>
        <w:spacing w:after="60"/>
        <w:jc w:val="center"/>
      </w:pPr>
      <w:r>
        <w:t xml:space="preserve">- and -</w:t>
      </w:r>
    </w:p>
    <w:p>
      <w:pPr>
        <w:spacing w:after="60"/>
        <w:jc w:val="center"/>
      </w:pPr>
      <w:r>
        <w:rPr>
          <w:b/>
          <w:bCs/>
        </w:rPr>
        <w:t xml:space="preserve">TECHFLOW SOLUTIONS LIMITED</w:t>
      </w:r>
    </w:p>
    <w:p>
      <w:pPr>
        <w:spacing w:after="120"/>
        <w:jc w:val="right"/>
      </w:pPr>
      <w:r>
        <w:rPr>
          <w:b/>
          <w:bCs/>
        </w:rPr>
        <w:t xml:space="preserve">Defendant</w:t>
      </w:r>
    </w:p>
    <w:p>
      <w:pPr>
        <w:pBdr>
          <w:bottom w:val="single" w:color="000000" w:sz="6" w:space="1"/>
        </w:pBdr>
        <w:spacing w:after="160"/>
      </w:pP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REPORT OF FIONA GREENHALGH FCA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Independent Forensic Accountant</w:t>
      </w:r>
    </w:p>
    <w:p>
      <w:pPr>
        <w:pStyle w:val="Heading2"/>
      </w:pPr>
      <w:r>
        <w:t xml:space="preserve">1.  Introduction and instructions</w:t>
      </w:r>
    </w:p>
    <w:p>
      <w:pPr>
        <w:tabs>
          <w:tab w:val="left" w:pos="624"/>
        </w:tabs>
        <w:spacing w:after="160"/>
        <w:ind w:left="624" w:hanging="624"/>
      </w:pPr>
      <w:r>
        <w:t xml:space="preserve">1.</w:t>
      </w:r>
      <w:r>
        <w:t xml:space="preserve">	</w:t>
      </w:r>
      <w:r>
        <w:t xml:space="preserve">I am Fiona Greenhalgh, a Fellow of the Institute of Chartered Accountants in England and Wales, and a partner in a forensic accounting practice. I am instructed by Caldwell Pryce LLP to give my independent opinion on the quantum of the Claimant’s pleaded losses, namely wasted expenditure of £1,800,000 and loss of profit of £4,200,000.</w:t>
      </w:r>
    </w:p>
    <w:p>
      <w:pPr>
        <w:pStyle w:val="Heading2"/>
      </w:pPr>
      <w:r>
        <w:t xml:space="preserve">2.  Wasted expenditure</w:t>
      </w:r>
    </w:p>
    <w:p>
      <w:pPr>
        <w:tabs>
          <w:tab w:val="left" w:pos="624"/>
        </w:tabs>
        <w:spacing w:after="160"/>
        <w:ind w:left="624" w:hanging="624"/>
      </w:pPr>
      <w:r>
        <w:t xml:space="preserve">2.</w:t>
      </w:r>
      <w:r>
        <w:t xml:space="preserve">	</w:t>
      </w:r>
      <w:r>
        <w:t xml:space="preserve">The pleaded wasted expenditure of £1,800,000 is </w:t>
      </w:r>
      <w:r>
        <w:rPr>
          <w:b/>
          <w:bCs/>
        </w:rPr>
        <w:t xml:space="preserve">consistent with the Claimant’s accounting records</w:t>
      </w:r>
      <w:r>
        <w:t xml:space="preserve"> and the sums invoiced and paid under the Master Services Agreement. I have no reason to challenge this element on a wasted-expenditure basis.</w:t>
      </w:r>
    </w:p>
    <w:p>
      <w:pPr>
        <w:pStyle w:val="Heading2"/>
      </w:pPr>
      <w:r>
        <w:t xml:space="preserve">3.  Loss of profit</w:t>
      </w:r>
    </w:p>
    <w:p>
      <w:pPr>
        <w:tabs>
          <w:tab w:val="left" w:pos="624"/>
        </w:tabs>
        <w:spacing w:after="160"/>
        <w:ind w:left="624" w:hanging="624"/>
      </w:pPr>
      <w:r>
        <w:t xml:space="preserve">3.</w:t>
      </w:r>
      <w:r>
        <w:t xml:space="preserve">	</w:t>
      </w:r>
      <w:r>
        <w:t xml:space="preserve">I have analysed the Claimant’s management accounts, EPOS sales data and prior-year comparatives for the November–December 2024 period. In my opinion the pleaded loss of profit of £4,200,000 is </w:t>
      </w:r>
      <w:r>
        <w:rPr>
          <w:b/>
          <w:bCs/>
        </w:rPr>
        <w:t xml:space="preserve">substantially overstated</w:t>
      </w:r>
      <w:r>
        <w:t xml:space="preserve">.</w:t>
      </w:r>
    </w:p>
    <w:p>
      <w:pPr>
        <w:tabs>
          <w:tab w:val="left" w:pos="624"/>
        </w:tabs>
        <w:spacing w:after="160"/>
        <w:ind w:left="624" w:hanging="624"/>
      </w:pPr>
      <w:r>
        <w:t xml:space="preserve">4.</w:t>
      </w:r>
      <w:r>
        <w:t xml:space="preserve">	</w:t>
      </w:r>
      <w:r>
        <w:t xml:space="preserve">On the most supportable basis, the incremental lost gross profit capable of being attributed to the Platform’s defects is of the order of </w:t>
      </w:r>
      <w:r>
        <w:rPr>
          <w:b/>
          <w:bCs/>
        </w:rPr>
        <w:t xml:space="preserve">£1,300,000</w:t>
      </w:r>
      <w:r>
        <w:t xml:space="preserve">, not £4,200,000.</w:t>
      </w:r>
    </w:p>
    <w:p>
      <w:pPr>
        <w:tabs>
          <w:tab w:val="left" w:pos="624"/>
        </w:tabs>
        <w:spacing w:after="160"/>
        <w:ind w:left="624" w:hanging="624"/>
      </w:pPr>
      <w:r>
        <w:t xml:space="preserve">5.</w:t>
      </w:r>
      <w:r>
        <w:t xml:space="preserve">	</w:t>
      </w:r>
      <w:r>
        <w:t xml:space="preserve">A material part of the Q4 sales shortfall is, in my opinion, attributable to causes unconnected with the Platform. In particular: </w:t>
      </w:r>
      <w:r>
        <w:rPr>
          <w:b/>
          <w:bCs/>
        </w:rPr>
        <w:t xml:space="preserve">(a)</w:t>
      </w:r>
      <w:r>
        <w:t xml:space="preserve"> the flooding of the Claimant’s Lutterworth distribution centre in early December 2024, which disrupted stock to approximately 40 stores for around ten days; and </w:t>
      </w:r>
      <w:r>
        <w:rPr>
          <w:b/>
          <w:bCs/>
        </w:rPr>
        <w:t xml:space="preserve">(b)</w:t>
      </w:r>
      <w:r>
        <w:t xml:space="preserve"> a sector-wide downturn in retail trading in the relevant quarter, evident in the Claimant’s own like-for-like data from October 2024 (i.e. before go-live). I estimate that approximately £1,500,000 of the claimed decline is attributable to these non-Platform factors, with the balance unsupported on the material I have seen.</w:t>
      </w:r>
    </w:p>
    <w:p>
      <w:pPr>
        <w:pStyle w:val="Heading2"/>
      </w:pPr>
      <w:r>
        <w:t xml:space="preserve">4.  Contractual limitation (matter for the Court)</w:t>
      </w:r>
    </w:p>
    <w:p>
      <w:pPr>
        <w:tabs>
          <w:tab w:val="left" w:pos="624"/>
        </w:tabs>
        <w:spacing w:after="160"/>
        <w:ind w:left="624" w:hanging="624"/>
      </w:pPr>
      <w:r>
        <w:t xml:space="preserve">6.</w:t>
      </w:r>
      <w:r>
        <w:t xml:space="preserve">	</w:t>
      </w:r>
      <w:r>
        <w:t xml:space="preserve">I note, as a matter for the Court rather than for me, that clause 14 of the Master Services Agreement appears to </w:t>
      </w:r>
      <w:r>
        <w:rPr>
          <w:b/>
          <w:bCs/>
        </w:rPr>
        <w:t xml:space="preserve">exclude liability for loss of profit</w:t>
      </w:r>
      <w:r>
        <w:t xml:space="preserve"> and to cap the Supplier’s liability at the charges paid (approximately £1,800,000). If that clause is effective, it would significantly affect the recoverability of the loss-of-profit claim regardless of my quantification.</w:t>
      </w:r>
    </w:p>
    <w:p>
      <w:pPr>
        <w:pStyle w:val="Heading2"/>
      </w:pPr>
      <w:r>
        <w:t xml:space="preserve">5.  Summary of opinion</w:t>
      </w:r>
    </w:p>
    <w:p>
      <w:pPr>
        <w:tabs>
          <w:tab w:val="left" w:pos="624"/>
        </w:tabs>
        <w:spacing w:after="160"/>
        <w:ind w:left="624" w:hanging="624"/>
      </w:pPr>
      <w:r>
        <w:t xml:space="preserve">7.</w:t>
      </w:r>
      <w:r>
        <w:t xml:space="preserve">	</w:t>
      </w:r>
      <w:r>
        <w:t xml:space="preserve">In summary: the wasted expenditure of £1,800,000 is supportable; the pleaded loss of profit of £4,200,000 is substantially overstated, with a supportable figure of around £1,300,000 before considering causation and the contractual limitation, and a significant part of the Q4 shortfall attributable to the distribution-centre flood and the wider market.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Expert’s declaration</w:t>
      </w:r>
    </w:p>
    <w:p>
      <w:pPr>
        <w:spacing w:after="140"/>
      </w:pPr>
      <w:r>
        <w:t xml:space="preserve">I understand that my duty is to help the court on matters within my expertise, and that this duty overrides any obligation to those instructing or paying me. I have complied with that duty and will continue to do so. I believe that the facts I have stated in this report are true and that the opinions I have expressed are correct.</w:t>
      </w:r>
    </w:p>
    <w:p>
      <w:pPr>
        <w:spacing w:after="120"/>
      </w:pPr>
      <w:r>
        <w:t xml:space="preserve"/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Signed:</w:t>
      </w:r>
      <w:r>
        <w:t xml:space="preserve">	</w:t>
      </w:r>
      <w:r>
        <w:t xml:space="preserve">Fiona Greenhalgh FCA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Dated:</w:t>
      </w:r>
      <w:r>
        <w:t xml:space="preserve">	</w:t>
      </w:r>
      <w:r>
        <w:t xml:space="preserve">24 April 2026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Expert Report — F. Greenhalgh FCA (quantum)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2026-06-26T17:02:00.040Z</dcterms:created>
  <dcterms:modified xsi:type="dcterms:W3CDTF">2026-06-26T17:02:00.040Z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