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2"/>
          <w:szCs w:val="22"/>
        </w:rPr>
        <w:t xml:space="preserve">TECHFLOW SOLUTIONS LIMITED v MERIDIAN RETAIL GROUP PLC</w:t>
      </w:r>
    </w:p>
    <w:p>
      <w:pPr>
        <w:spacing w:after="20"/>
        <w:jc w:val="center"/>
      </w:pPr>
      <w:r>
        <w:rPr>
          <w:sz w:val="18"/>
          <w:szCs w:val="18"/>
        </w:rPr>
        <w:t xml:space="preserve">Claim No. HT-2025-000231  |  High Court of Justice, Business and Property Courts, Technology and Construction Court (KBD)</w:t>
      </w:r>
    </w:p>
    <w:p>
      <w:pPr>
        <w:spacing w:after="40"/>
        <w:jc w:val="center"/>
      </w:pPr>
      <w:r>
        <w:rPr>
          <w:b/>
          <w:bCs/>
          <w:sz w:val="26"/>
          <w:szCs w:val="26"/>
        </w:rPr>
        <w:t xml:space="preserve">DISPUTE BUNDLE — INDEX</w:t>
      </w:r>
    </w:p>
    <w:p>
      <w:pPr>
        <w:spacing w:after="160"/>
        <w:jc w:val="center"/>
      </w:pPr>
      <w:r>
        <w:rPr>
          <w:i/>
          <w:iCs/>
          <w:sz w:val="18"/>
          <w:szCs w:val="18"/>
        </w:rPr>
        <w:t xml:space="preserve">(Synthetic bundle prepared for the LLMxLaw "Pleading-to-Proof" challenge — all content is fictional)</w:t>
      </w:r>
    </w:p>
    <w:tbl>
      <w:tblPr>
        <w:tblW w:type="dxa" w:w="901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700"/>
        <w:gridCol w:w="2018"/>
      </w:tblGrid>
      <w:tr>
        <w:tc>
          <w:tcPr>
            <w:tcW w:type="dxa" w:w="900"/>
            <w:tcBorders>
              <w:top w:val="single" w:color="888888" w:sz="4"/>
              <w:left w:val="single" w:color="888888" w:sz="4"/>
              <w:bottom w:val="single" w:color="888888" w:sz="4"/>
              <w:right w:val="single" w:color="888888" w:sz="4"/>
            </w:tcBorders>
            <w:shd w:fill="E6E6E6" w:val="clear"/>
            <w:tcMar>
              <w:top w:type="dxa" w:w="60"/>
              <w:left w:type="dxa" w:w="110"/>
              <w:bottom w:type="dxa" w:w="60"/>
              <w:right w:type="dxa" w:w="110"/>
            </w:tcMar>
          </w:tcPr>
          <w:p>
            <w:pPr>
              <w:spacing w:after="0"/>
            </w:pPr>
            <w:r>
              <w:rPr>
                <w:b/>
                <w:bCs/>
                <w:sz w:val="20"/>
                <w:szCs w:val="20"/>
              </w:rPr>
              <w:t xml:space="preserve">Tab</w:t>
            </w:r>
          </w:p>
        </w:tc>
        <w:tc>
          <w:tcPr>
            <w:tcW w:type="dxa" w:w="4400"/>
            <w:tcBorders>
              <w:top w:val="single" w:color="888888" w:sz="4"/>
              <w:left w:val="single" w:color="888888" w:sz="4"/>
              <w:bottom w:val="single" w:color="888888" w:sz="4"/>
              <w:right w:val="single" w:color="888888" w:sz="4"/>
            </w:tcBorders>
            <w:shd w:fill="E6E6E6" w:val="clear"/>
            <w:tcMar>
              <w:top w:type="dxa" w:w="60"/>
              <w:left w:type="dxa" w:w="110"/>
              <w:bottom w:type="dxa" w:w="60"/>
              <w:right w:type="dxa" w:w="110"/>
            </w:tcMar>
          </w:tcPr>
          <w:p>
            <w:pPr>
              <w:spacing w:after="0"/>
            </w:pPr>
            <w:r>
              <w:rPr>
                <w:b/>
                <w:bCs/>
                <w:sz w:val="20"/>
                <w:szCs w:val="20"/>
              </w:rPr>
              <w:t xml:space="preserve">Document</w:t>
            </w:r>
          </w:p>
        </w:tc>
        <w:tc>
          <w:tcPr>
            <w:tcW w:type="dxa" w:w="1700"/>
            <w:tcBorders>
              <w:top w:val="single" w:color="888888" w:sz="4"/>
              <w:left w:val="single" w:color="888888" w:sz="4"/>
              <w:bottom w:val="single" w:color="888888" w:sz="4"/>
              <w:right w:val="single" w:color="888888" w:sz="4"/>
            </w:tcBorders>
            <w:shd w:fill="E6E6E6" w:val="clear"/>
            <w:tcMar>
              <w:top w:type="dxa" w:w="60"/>
              <w:left w:type="dxa" w:w="110"/>
              <w:bottom w:type="dxa" w:w="60"/>
              <w:right w:type="dxa" w:w="110"/>
            </w:tcMar>
          </w:tcPr>
          <w:p>
            <w:pPr>
              <w:spacing w:after="0"/>
            </w:pPr>
            <w:r>
              <w:rPr>
                <w:b/>
                <w:bCs/>
                <w:sz w:val="20"/>
                <w:szCs w:val="20"/>
              </w:rPr>
              <w:t xml:space="preserve">Date</w:t>
            </w:r>
          </w:p>
        </w:tc>
        <w:tc>
          <w:tcPr>
            <w:tcW w:type="dxa" w:w="2018"/>
            <w:tcBorders>
              <w:top w:val="single" w:color="888888" w:sz="4"/>
              <w:left w:val="single" w:color="888888" w:sz="4"/>
              <w:bottom w:val="single" w:color="888888" w:sz="4"/>
              <w:right w:val="single" w:color="888888" w:sz="4"/>
            </w:tcBorders>
            <w:shd w:fill="E6E6E6" w:val="clear"/>
            <w:tcMar>
              <w:top w:type="dxa" w:w="60"/>
              <w:left w:type="dxa" w:w="110"/>
              <w:bottom w:type="dxa" w:w="60"/>
              <w:right w:type="dxa" w:w="110"/>
            </w:tcMar>
          </w:tcPr>
          <w:p>
            <w:pPr>
              <w:spacing w:after="0"/>
            </w:pPr>
            <w:r>
              <w:rPr>
                <w:b/>
                <w:bCs/>
                <w:sz w:val="20"/>
                <w:szCs w:val="20"/>
              </w:rPr>
              <w:t xml:space="preserve">Category</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Claim Form</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5 Jun 2025</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Pleading</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Particulars of Claim</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5 Jun 2025</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Pleading</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3</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Master Services Agreement</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14 Mar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Contract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4</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Statement of Work (SOW-01)</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14 Mar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Contract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5</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Order Form (Phase 1)</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20 Mar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Contract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6</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Deed of Variation No. 1</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28 Jun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Amendment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7</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Change Order No. 3 (loyalty module)</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 Sep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Amendment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8</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Phase 1 UAT Acceptance Certificate</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12 Nov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Record</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9</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Email — go-live decision</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24 Oct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Correspondence</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10</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Email — loyalty module change request</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21–27 Aug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Correspondence</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11</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Email — 25 Nov outage root cause</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26 Nov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Correspondence</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12</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Email — internal, Q4 trading</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8 Dec 2024</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Internal record</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13</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Platform defect / issue log (extract)</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Nov 2024–Jan 2025</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Internal record</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14</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Letter — Notice of Termination</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20 Jan 2025</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Correspondence</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15</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Letter — TechFlow response</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7 Feb 2025</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Correspondence</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16</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statement — Helena Vance</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13 Mar 2026</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(fact)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17</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statement — Raymond Okafor</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13 Mar 2026</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(fact)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18</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statement — Priya Nair</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13 Mar 2026</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(fact)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19</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Expert report — Dr Alan Whitfield (IT)</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24 Apr 2026</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(expert)</w:t>
            </w:r>
          </w:p>
        </w:tc>
      </w:tr>
      <w:tr>
        <w:tc>
          <w:tcPr>
            <w:tcW w:type="dxa" w:w="9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20</w:t>
            </w:r>
          </w:p>
        </w:tc>
        <w:tc>
          <w:tcPr>
            <w:tcW w:type="dxa" w:w="44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Expert report — Fiona Greenhalgh FCA (quantum)</w:t>
            </w:r>
          </w:p>
        </w:tc>
        <w:tc>
          <w:tcPr>
            <w:tcW w:type="dxa" w:w="1700"/>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24 Apr 2026</w:t>
            </w:r>
          </w:p>
        </w:tc>
        <w:tc>
          <w:tcPr>
            <w:tcW w:type="dxa" w:w="2018"/>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rPr>
                <w:sz w:val="20"/>
                <w:szCs w:val="20"/>
              </w:rPr>
              <w:t xml:space="preserve">Witness (expert)</w:t>
            </w:r>
          </w:p>
        </w:tc>
      </w:tr>
    </w:tbl>
    <w:p>
      <w:pPr>
        <w:spacing w:after="140" w:before="140"/>
      </w:pPr>
      <w:r>
        <w:rPr>
          <w:b/>
          <w:bCs/>
        </w:rPr>
        <w:t xml:space="preserve">Note: </w:t>
      </w:r>
      <w:r>
        <w:t xml:space="preserve">The pleadings in this bundle are the Claimant’s only. The bundle is deliberately constructed so that some pleaded allegations are well supported by the evidence, some are contradicted by it, and some have little or no supporting material.</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Dispute Bundle Index — HT-2025-000231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2026-06-26T17:02:00.051Z</dcterms:created>
  <dcterms:modified xsi:type="dcterms:W3CDTF">2026-06-26T17:02:00.051Z</dcterms:modified>
</cp:coreProperties>
</file>

<file path=docProps/custom.xml><?xml version="1.0" encoding="utf-8"?>
<Properties xmlns="http://schemas.openxmlformats.org/officeDocument/2006/custom-properties" xmlns:vt="http://schemas.openxmlformats.org/officeDocument/2006/docPropsVTypes"/>
</file>