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DEED OF VARIATION No. 1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to the Master Services Agreement dated 14 March 2024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Date:</w:t>
      </w:r>
      <w:r>
        <w:t xml:space="preserve">	</w:t>
      </w:r>
      <w:r>
        <w:t xml:space="preserve">28 June 2024</w:t>
      </w:r>
    </w:p>
    <w:p>
      <w:pPr>
        <w:spacing w:after="140"/>
      </w:pPr>
      <w:r>
        <w:t xml:space="preserve">PARTIES: (1) Meridian Retail Group plc; and (2) TechFlow Solutions Limited.</w:t>
      </w:r>
    </w:p>
    <w:p>
      <w:pPr>
        <w:pStyle w:val="Heading2"/>
      </w:pPr>
      <w:r>
        <w:t xml:space="preserve">Recitals</w:t>
      </w:r>
    </w:p>
    <w:p>
      <w:pPr>
        <w:spacing w:after="140"/>
      </w:pPr>
      <w:r>
        <w:t xml:space="preserve">(A)  The parties entered into the Master Services Agreement dated 14 March 2024 ("the MSA").</w:t>
      </w:r>
    </w:p>
    <w:p>
      <w:pPr>
        <w:spacing w:after="140"/>
      </w:pPr>
      <w:r>
        <w:t xml:space="preserve">(B)  The parties wish to vary the payment milestone profile to reflect cash-flow phasing. This Deed does not vary the scope of the works or the target go-live date.</w:t>
      </w:r>
    </w:p>
    <w:p>
      <w:pPr>
        <w:pStyle w:val="Heading2"/>
      </w:pPr>
      <w:r>
        <w:t xml:space="preserve">Operative provisions</w:t>
      </w:r>
    </w:p>
    <w:p>
      <w:pPr>
        <w:spacing w:after="140"/>
      </w:pPr>
      <w:r>
        <w:t xml:space="preserve">1.  With effect from the date of this Deed, clause 4.1 of the SOW is varied so that the charges are payable: 20% on M1, 20% on M2, 30% on M3 and 30% on M4.</w:t>
      </w:r>
    </w:p>
    <w:p>
      <w:pPr>
        <w:spacing w:after="140"/>
      </w:pPr>
      <w:r>
        <w:t xml:space="preserve">2.  Save as varied by this Deed, the MSA remains in full force and effect.</w:t>
      </w:r>
    </w:p>
    <w:p>
      <w:pPr>
        <w:spacing w:after="160"/>
      </w:pPr>
      <w:r>
        <w:t xml:space="preserve"/>
      </w:r>
    </w:p>
    <w:p>
      <w:pPr>
        <w:spacing w:after="140"/>
      </w:pPr>
      <w:r>
        <w:t xml:space="preserve">EXECUTED as a DEED by the parties on the date first above written.</w:t>
      </w:r>
    </w:p>
    <w:p>
      <w:pPr>
        <w:spacing w:after="120"/>
      </w:pPr>
      <w:r>
        <w:t xml:space="preserve"/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For Meridian:</w:t>
      </w:r>
      <w:r>
        <w:t xml:space="preserve">	</w:t>
      </w:r>
      <w:r>
        <w:t xml:space="preserve">..........................  Priya Nair, Head of Procurement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For TechFlow:</w:t>
      </w:r>
      <w:r>
        <w:t xml:space="preserve">	</w:t>
      </w:r>
      <w:r>
        <w:t xml:space="preserve">..........................  Gregory Manton, Commercial Director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Deed of Variation No. 1 — 28 June 2024  —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2026-06-26T17:01:59.263Z</dcterms:created>
  <dcterms:modified xsi:type="dcterms:W3CDTF">2026-06-26T17:01:59.263Z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