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Kaido Motors</w:t>
      </w:r>
    </w:p>
    <w:p>
      <w:r>
        <w:rPr>
          <w:b/>
        </w:rPr>
        <w:t>Respuestas a las cinco preguntas del enunciado</w:t>
      </w:r>
    </w:p>
    <w:p>
      <w:r>
        <w:rPr>
          <w:b w:val="0"/>
        </w:rPr>
        <w:t>La propuesta parte de la demanda histórica, prevé A013 y simula ventas, stock y costes para decidir la producción. Recomendamos proteger la disponibilidad de MSUV y SSUV y reducir el exceso inicial de C y CSUV. La previsión necesita mejorar antes de aprobar órdenes reales.</w:t>
      </w:r>
    </w:p>
    <w:p>
      <w:pPr>
        <w:pStyle w:val="Heading1"/>
      </w:pPr>
      <w:r>
        <w:t>Pregunta 1 Demanda real y crecimiento de A012</w:t>
      </w:r>
    </w:p>
    <w:p>
      <w:r>
        <w:rPr>
          <w:b w:val="0"/>
          <w:sz w:val="18"/>
        </w:rPr>
        <w:t>¿Cuál es la demanda real de Kaido? Separe lo que compraron los clientes de las automatriculaciones, las compras adelantadas y los meses en que faltaron coches. ¿Cuánto creció de verdad la demanda en A012?</w:t>
      </w:r>
    </w:p>
    <w:p>
      <w:r>
        <w:rPr>
          <w:b/>
        </w:rPr>
        <w:t>Los clientes compraron 20.706 coches en A012, un 5,95 % más que en A011. CSUV aporta 1.192 clientes; la gama existente varía -29 coches, un -0,15 %. No podemos identificar una cifra exacta de demanda potencial.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1757"/>
        <w:gridCol w:w="1757"/>
        <w:gridCol w:w="2891"/>
      </w:tblGrid>
      <w:tr>
        <w:trPr>
          <w:cantSplit/>
          <w:tblHeader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Indicador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A011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A012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Variación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Matriculaciones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21.362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23.175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+8,49 %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Automatriculaciones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1.819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2.469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+650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Compras de clientes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19.543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20.706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+5,95 %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Clientes de la gama previa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19.543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19.514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-0,15 %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Clientes del nuevo CSUV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1.192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Nuevo segmento</w:t>
            </w:r>
          </w:p>
        </w:tc>
      </w:tr>
    </w:tbl>
    <w:p>
      <w:pPr>
        <w:spacing w:after="20" w:before="0"/>
      </w:pPr>
      <w:r>
        <w:rPr>
          <w:sz w:val="4"/>
        </w:rPr>
      </w:r>
    </w:p>
    <w:p>
      <w:r>
        <w:rPr>
          <w:b w:val="0"/>
        </w:rPr>
        <w:t>Calculamos clientes observados como matriculaciones menos automatriculaciones. Las ventas especiales permanecen dentro porque corresponden a compras de clientes. El crecimiento del 8,49 % de matriculaciones combina compras, automatriculaciones y ampliación de gama.</w:t>
      </w:r>
    </w:p>
    <w:p>
      <w:r>
        <w:rPr>
          <w:b w:val="0"/>
        </w:rPr>
        <w:t>Para estudiar los adelantos comparamos meses y gama equivalentes. La gama previa cambia un -4,38 % en enero–octubre; esa ventana todavía incluye sucesos de A011. En enero–julio, sin sucesos marcados en los meses comparados, cambia un -3,12 %. Ninguna cifra representa una demanda anual completamente depurada.</w:t>
      </w:r>
    </w:p>
    <w:p>
      <w:r>
        <w:rPr>
          <w:b w:val="0"/>
        </w:rPr>
        <w:t>La falta de coches se estudia con indicadores de disponibilidad: SSUV termina diciembre A012 sin stock y S con un coche. Esto señala riesgo, pero no demuestra cuántos pedidos se perdieron. Sin pedidos no atendidos ni disponibilidad dentro de cada mes no podemos separar exactamente adelantos y ventas perdidas.</w:t>
      </w:r>
    </w:p>
    <w:p>
      <w:r>
        <w:rPr>
          <w:b w:val="0"/>
          <w:sz w:val="18"/>
        </w:rPr>
        <w:t>Cálculos y explicación: notebook 02, apartados 2–8 y respuesta final en el apartado 10.</w:t>
      </w:r>
    </w:p>
    <w:p>
      <w:r>
        <w:br w:type="page"/>
      </w:r>
    </w:p>
    <w:p>
      <w:pPr>
        <w:pStyle w:val="Heading1"/>
      </w:pPr>
      <w:r>
        <w:t>Pregunta 2 Previsión de ventas para A013</w:t>
      </w:r>
    </w:p>
    <w:p>
      <w:r>
        <w:rPr>
          <w:b w:val="0"/>
          <w:sz w:val="18"/>
        </w:rPr>
        <w:t>¿Cuánto vamos a vender en A013? Construya un modelo de demanda mensual para cada segmento, con la economía, el calendario y el producto, y compruébelo con los datos de A012.</w:t>
      </w:r>
    </w:p>
    <w:p>
      <w:r>
        <w:rPr>
          <w:b/>
        </w:rPr>
        <w:t>La previsión central de demanda es de 22.209 coches. Al simular incertidumbre y disponibilidad, las ventas atendidas medias son 21.729. La previsión mensual existe para los siete segmentos; la tabla resume el año.</w:t>
      </w:r>
    </w:p>
    <w:p>
      <w:pPr>
        <w:pStyle w:val="Heading2"/>
      </w:pPr>
      <w:r>
        <w:t>Modelo aplicado</w:t>
      </w:r>
    </w:p>
    <w:p>
      <w:r>
        <w:rPr>
          <w:b w:val="0"/>
        </w:rPr>
        <w:t>Ajustamos 21 regresiones Ridge con restricciones de signo, una por segmento y canal. Predicen el mercado usando tendencia, mes, días laborables, Semana Santa, economía y sucesos. Multiplicamos cada mercado previsto por una cuota reciente de Kaido y sumamos canales. Las renovaciones y lanzamientos modifican la cuota mediante hipótesis explícitas en el notebook 04; sus efectos futuros no están estimados causalmente.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Segmento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Demanda central prevista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Ventas atendidas medias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B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1.628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1.555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3.584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3.578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MD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752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737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SSUV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6.061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5.788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CSUV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2.293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2.300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MSUV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7.196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7.120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694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653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TOTAL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22.209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21.729</w:t>
            </w:r>
          </w:p>
        </w:tc>
      </w:tr>
    </w:tbl>
    <w:p>
      <w:pPr>
        <w:spacing w:after="20" w:before="0"/>
      </w:pPr>
      <w:r>
        <w:rPr>
          <w:sz w:val="4"/>
        </w:rPr>
      </w:r>
    </w:p>
    <w:p>
      <w:r>
        <w:rPr>
          <w:b w:val="0"/>
          <w:sz w:val="18"/>
        </w:rPr>
        <w:t>La primera columna numérica procede de la previsión sin ruido; la segunda promedia 1.000 simulaciones. La media de demanda simulada es 22.259, ligeramente distinta por la generación de incertidumbre y el redondeo. Por ello, restar las dos columnas no calcula exactamente las ventas perdidas.</w:t>
      </w:r>
    </w:p>
    <w:p>
      <w:pPr>
        <w:pStyle w:val="Heading2"/>
      </w:pPr>
      <w:r>
        <w:t>Comprobación con A012</w:t>
      </w:r>
    </w:p>
    <w:p>
      <w:r>
        <w:rPr>
          <w:b w:val="0"/>
        </w:rPr>
        <w:t>Elegimos la configuración con validaciones anteriores a A012. Entrenamos hasta A011 y predecimos A012 sin usar su economía futura real. El WAPE total comparable es 14,96 %, frente a 12,32 % de repetir el mismo mes del año anterior. Un WAPE menor es mejor: esta versión no supera la referencia total.</w:t>
      </w:r>
    </w:p>
    <w:p>
      <w:r>
        <w:rPr>
          <w:b w:val="0"/>
        </w:rPr>
        <w:t>Después de la evaluación reajustamos hasta A012 para prever A013. CSUV no puede validarse como los otros segmentos porque se lanzó durante A012; su cuota se apoya en pocos meses y exige una incertidumbre especial. Debemos comparar alternativas y mejorar la evolución de cuota, especialmente en MD y S.</w:t>
      </w:r>
    </w:p>
    <w:p>
      <w:r>
        <w:rPr>
          <w:b w:val="0"/>
          <w:sz w:val="18"/>
        </w:rPr>
        <w:t>Cálculos: notebooks 03 y 04. Detalle mensual: resultados/04_escenarios_incertidumbre/prevision_escenarios_A013.csv. Validación: resultados/03_prevision_validacion/metricas_A012.csv.</w:t>
      </w:r>
    </w:p>
    <w:p>
      <w:r>
        <w:br w:type="page"/>
      </w:r>
    </w:p>
    <w:p>
      <w:pPr>
        <w:pStyle w:val="Heading1"/>
      </w:pPr>
      <w:r>
        <w:t>Pregunta 3 Escenarios e incertidumbre</w:t>
      </w:r>
    </w:p>
    <w:p>
      <w:r>
        <w:rPr>
          <w:b w:val="0"/>
          <w:sz w:val="18"/>
        </w:rPr>
        <w:t>¿Qué pasa si el año sale mejor o peor? Simule un escenario central, uno optimista y uno pesimista, con su incertidumbre. ¿Entre qué cifras se moverán las ventas de cada segmento?</w:t>
      </w:r>
    </w:p>
    <w:p>
      <w:r>
        <w:rPr>
          <w:b/>
        </w:rPr>
        <w:t>Con la política base y sus revisiones mensuales, esperamos aproximadamente 21.729 ventas en el central, 28.282 ventas en el optimista, 19.321 ventas en el pesimista.</w:t>
      </w:r>
    </w:p>
    <w:p>
      <w:pPr>
        <w:pStyle w:val="ListBullet"/>
        <w:spacing w:after="80"/>
      </w:pPr>
      <w:r>
        <w:t>Central: economía al nivel reciente y caída tras el adelanto durante tres meses; las renovaciones mantienen la cuota.</w:t>
      </w:r>
    </w:p>
    <w:p>
      <w:pPr>
        <w:pStyle w:val="ListBullet"/>
        <w:spacing w:after="80"/>
      </w:pPr>
      <w:r>
        <w:t>Optimista: mejor economía, caída de un mes, ayudas desde abril, mejora de producto y mayor capacidad supuesta.</w:t>
      </w:r>
    </w:p>
    <w:p>
      <w:pPr>
        <w:pStyle w:val="ListBullet"/>
        <w:spacing w:after="80"/>
      </w:pPr>
      <w:r>
        <w:t>Pesimista: peor economía, caída de seis meses, retraso de MSUV y parada en junio, además de arancel y CO2 en la valoración económica.</w:t>
      </w:r>
    </w:p>
    <w:p>
      <w:r>
        <w:rPr>
          <w:b w:val="0"/>
        </w:rPr>
        <w:t>Generamos 1.000 réplicas por escenario con errores históricos fuera de muestra, en bloques de tres meses y preservando la relación entre series. CSUV incorpora además una variación anual específica. Después simulamos suministro, ventas y stock.</w:t>
      </w:r>
    </w:p>
    <w:p>
      <w:r>
        <w:rPr>
          <w:b/>
        </w:rPr>
        <w:t>Ventas anuales atendidas por segmento. Cada celda muestra la media y debajo el intervalo P05 a P95, en coches.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835"/>
        <w:gridCol w:w="2835"/>
        <w:gridCol w:w="2835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Segmento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Pesimista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Central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Optimista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B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1.446</w:t>
              <w:br/>
              <w:t>1.209 a 1.702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1.555</w:t>
              <w:br/>
              <w:t>1.312 a 1.825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1.816</w:t>
              <w:br/>
              <w:t>1.576 a 2.084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3.255</w:t>
              <w:br/>
              <w:t>2.540 a 3.838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3.578</w:t>
              <w:br/>
              <w:t>2.814 a 4.208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4.260</w:t>
              <w:br/>
              <w:t>3.341 a 4.992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MD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618</w:t>
              <w:br/>
              <w:t>490 a 732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737</w:t>
              <w:br/>
              <w:t>582 a 874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829</w:t>
              <w:br/>
              <w:t>665 a 973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SSUV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5.144</w:t>
              <w:br/>
              <w:t>4.568 a 5.785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5.788</w:t>
              <w:br/>
              <w:t>5.020 a 6.630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9.130</w:t>
              <w:br/>
              <w:t>8.029 a 10.258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CSUV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2.100</w:t>
              <w:br/>
              <w:t>1.195 a 3.306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2.300</w:t>
              <w:br/>
              <w:t>1.308 a 3.621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2.868</w:t>
              <w:br/>
              <w:t>1.644 a 4.395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MSUV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6.271</w:t>
              <w:br/>
              <w:t>5.124 a 7.390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7.120</w:t>
              <w:br/>
              <w:t>5.864 a 8.343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8.563</w:t>
              <w:br/>
              <w:t>7.088 a 10.008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487</w:t>
              <w:br/>
              <w:t>309 a 717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653</w:t>
              <w:br/>
              <w:t>413 a 956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816</w:t>
              <w:br/>
              <w:t>525 a 1.178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TOTAL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19.321</w:t>
              <w:br/>
              <w:t>17.688 a 21.116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21.729</w:t>
              <w:br/>
              <w:t>19.955 a 23.649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28.282</w:t>
              <w:br/>
              <w:t>26.094 a 30.640</w:t>
            </w:r>
          </w:p>
        </w:tc>
      </w:tr>
    </w:tbl>
    <w:p>
      <w:pPr>
        <w:spacing w:after="20" w:before="0"/>
      </w:pPr>
      <w:r>
        <w:rPr>
          <w:sz w:val="4"/>
        </w:rPr>
      </w:r>
    </w:p>
    <w:p>
      <w:r>
        <w:rPr>
          <w:b w:val="0"/>
        </w:rPr>
        <w:t>P05 a P95 contiene el 90 % central de las réplicas de ese escenario. No es una garantía de cobertura futura. No asignamos probabilidades a los escenarios. Los percentiles del total se calculan sumando cada réplica; no se suman los percentiles de los segmentos.</w:t>
      </w:r>
    </w:p>
    <w:p>
      <w:r>
        <w:rPr>
          <w:b w:val="0"/>
        </w:rPr>
        <w:t>Antes de limitar por disponibilidad, la demanda total simulada tiene rangos P05 a P95 de 18.716 a 22.097 en el pesimista; 20.498 a 24.181 en el central; 27.635 a 32.432 en el optimista. Demanda y ventas son resultados diferentes.</w:t>
      </w:r>
    </w:p>
    <w:p>
      <w:r>
        <w:rPr>
          <w:b w:val="0"/>
          <w:sz w:val="18"/>
        </w:rPr>
        <w:t>Cálculos: 04 para demanda e incertidumbre; 06 para ventas atendidas. Fuente de la tabla: resultados/06_simulacion_mensual/resumen_anual.csv, métrica ventas.</w:t>
      </w:r>
    </w:p>
    <w:p>
      <w:r>
        <w:br w:type="page"/>
      </w:r>
    </w:p>
    <w:p>
      <w:pPr>
        <w:pStyle w:val="Heading1"/>
      </w:pPr>
      <w:r>
        <w:t>Pregunta 4 Producción y stock</w:t>
      </w:r>
    </w:p>
    <w:p>
      <w:r>
        <w:rPr>
          <w:b w:val="0"/>
          <w:sz w:val="18"/>
        </w:rPr>
        <w:t>¿Cuántos coches fabricamos y cuánto stock queremos? Convierta la demanda simulada en un plan de producción mensual por segmento, teniendo en cuenta lo que ya viene en camino.</w:t>
      </w:r>
    </w:p>
    <w:p>
      <w:r>
        <w:rPr>
          <w:b/>
        </w:rPr>
        <w:t>Proponemos un plan inicial de 20.615 coches fabricados durante A013, distribuido por mes y segmento en el anexo. De ellos, 6.136 llegarán en A014. El plan incorpora el stock inicial, las llegadas comprometidas y un colchón por segmento.</w:t>
      </w:r>
    </w:p>
    <w:p>
      <w:r>
        <w:rPr>
          <w:b w:val="0"/>
        </w:rPr>
        <w:t>La fabricación se decide al cierre del mes y llega tres meses después. La revisión de enero cambia la llegada de abril; enero–marzo ya están comprometidos al comenzar. Si hay una parada de fábrica en junio, afecta a la llegada de septiembre.</w:t>
      </w:r>
    </w:p>
    <w:p>
      <w:pPr>
        <w:pStyle w:val="Heading2"/>
      </w:pPr>
      <w:r>
        <w:t>Cómo calculamos el pedido</w:t>
      </w:r>
    </w:p>
    <w:p>
      <w:r>
        <w:rPr>
          <w:b w:val="0"/>
        </w:rPr>
        <w:t>Pedido nuevo = máximo entre cero y demanda prevista del mes de llegada + stock de seguridad − stock proyectado disponible antes de atender ese mes. La proyección descuenta la demanda intermedia e incorpora los coches ya en camino. Después aplicamos límites de capacidad y las reglas de revisión.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551"/>
        <w:gridCol w:w="2835"/>
        <w:gridCol w:w="3118"/>
      </w:tblGrid>
      <w:tr>
        <w:trPr>
          <w:cantSplit/>
          <w:tblHeader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Segmento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Stock al cierre de A012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Stock de seguridad base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Fabricación inicial A013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97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120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1.650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1.107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237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2.617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MD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125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46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810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SSUV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381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6.185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CSUV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1.011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245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1.106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MSUV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536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422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7.551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S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151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696</w:t>
            </w:r>
          </w:p>
        </w:tc>
      </w:tr>
    </w:tbl>
    <w:p>
      <w:pPr>
        <w:spacing w:after="20" w:before="0"/>
      </w:pPr>
      <w:r>
        <w:rPr>
          <w:sz w:val="4"/>
        </w:rPr>
      </w:r>
    </w:p>
    <w:p>
      <w:r>
        <w:rPr>
          <w:b w:val="0"/>
        </w:rPr>
        <w:t>El stock de seguridad protege contra errores acumulados de tres meses. Tomamos el mayor entre una aproximación estadística y el percentil 90 del error acumulado. Ese objetivo no garantiza atender el 90 % de las ventas ni demuestra que el colchón sea económicamente óptimo.</w:t>
      </w:r>
    </w:p>
    <w:p>
      <w:r>
        <w:rPr>
          <w:b w:val="0"/>
        </w:rPr>
        <w:t>C y CSUV empiezan con exceso; por eso sus primeros pedidos son cero. SSUV empieza sin stock y puede perder ventas antes de las nuevas llegadas. En la simulación vendemos primero los coches más antiguos y revisamos las órdenes con información disponible en cada mes.</w:t>
      </w:r>
    </w:p>
    <w:p>
      <w:pPr>
        <w:pStyle w:val="Heading2"/>
      </w:pPr>
      <w:r>
        <w:t>Qué datos debemos confirmar</w:t>
      </w:r>
    </w:p>
    <w:p>
      <w:r>
        <w:rPr>
          <w:b w:val="0"/>
        </w:rPr>
        <w:t>No tenemos el manifiesto real de barcos. Para enero–febrero usamos el wholesale medio del último trimestre como aproximación; la llegada de marzo se calcula al cierre de A012 y se congela. Contrastamos el pipeline con variaciones del ±25 %. También hay que confirmar capacidad. Las cifras fabricadas tras revisiones pueden diferir del plan inicial.</w:t>
      </w:r>
    </w:p>
    <w:p>
      <w:r>
        <w:rPr>
          <w:b w:val="0"/>
          <w:sz w:val="18"/>
        </w:rPr>
        <w:t>Cálculos: 05 fija el plan y 06 comprueba su funcionamiento. Plan completo: resultados/09_entrega_defensa/produccion_mensual_plan_inicial.csv. Stock y seguridad: resultados/05_produccion_stock.</w:t>
      </w:r>
    </w:p>
    <w:p>
      <w:r>
        <w:br w:type="page"/>
      </w:r>
    </w:p>
    <w:p>
      <w:pPr>
        <w:pStyle w:val="Heading1"/>
      </w:pPr>
      <w:r>
        <w:t>Pregunta 5 Costes y recomendación</w:t>
      </w:r>
    </w:p>
    <w:p>
      <w:r>
        <w:rPr>
          <w:b w:val="0"/>
          <w:sz w:val="18"/>
        </w:rPr>
        <w:t>¿Cuánto cuesta equivocarse y qué recomendamos? Compare lo que cuesta quedarse corto con lo que cuesta pasarse. Diga qué segmentos conviene empujar o frenar, qué señales hay que vigilar cada mes y cuándo cambiar la producción.</w:t>
      </w:r>
    </w:p>
    <w:p>
      <w:r>
        <w:rPr>
          <w:b/>
        </w:rPr>
        <w:t>Recomendamos priorizar disponibilidad de MSUV y SSUV, vender el exceso de C y CSUV y controlar el margen incremental de B. La contribución central es 74,18 M EUR; en el pesimista pasa a -4,08 M EUR, por lo que ampliar volumen puede empeorar el resultado.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39"/>
        <w:gridCol w:w="1928"/>
        <w:gridCol w:w="1928"/>
        <w:gridCol w:w="1871"/>
      </w:tblGrid>
      <w:tr>
        <w:trPr>
          <w:cantSplit/>
          <w:tblHeader/>
        </w:trPr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Indicador del plan base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Pesimista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Central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Optimista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Ventas perdidas en coches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1.024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530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1.707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Oportunidad perdida en M EUR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0,33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1,65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5,57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Permanencia del stock en M EUR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2,31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2,34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2,22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VM extra por edad en M EUR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1,62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1,47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1,26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Contribución de marca en M EUR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-4,08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74,18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101,29</w:t>
            </w:r>
          </w:p>
        </w:tc>
      </w:tr>
    </w:tbl>
    <w:p>
      <w:pPr>
        <w:spacing w:after="20" w:before="0"/>
      </w:pPr>
      <w:r>
        <w:rPr>
          <w:sz w:val="4"/>
        </w:rPr>
      </w:r>
    </w:p>
    <w:p>
      <w:r>
        <w:rPr>
          <w:b w:val="0"/>
          <w:sz w:val="18"/>
        </w:rPr>
        <w:t>Quedarse corto pierde ventas y contribución potencial; esta oportunidad no se resta otra vez del margen realizado. Pasarse genera permanencia y mayor VM (gasto comercial) al vender coches envejecidos. La permanencia incluye todo el stock, no solo el exceso atribuible a errores. La contribución excluye costes fijos e impuestos sobre beneficios; intereses y principal vencido de la red se muestran aparte.</w:t>
      </w:r>
    </w:p>
    <w:p>
      <w:pPr>
        <w:pStyle w:val="Heading2"/>
      </w:pPr>
      <w:r>
        <w:t>Decisiones por segmento y política</w:t>
      </w:r>
    </w:p>
    <w:p>
      <w:r>
        <w:rPr>
          <w:b w:val="0"/>
        </w:rPr>
        <w:t>MSUV y SSUV: proteger disponibilidad. C y CSUV: dar salida al stock antes de ampliar pedidos y confirmar la cuota de CSUV. MD y S: revisar la previsión antes de crecer. B: limitar campañas sin margen suficiente. En el pesimista, revisar cualquier segmento con contribución negativa antes de aumentar producción.</w:t>
      </w:r>
    </w:p>
    <w:p>
      <w:r>
        <w:rPr>
          <w:b w:val="0"/>
        </w:rPr>
        <w:t>Reducir la seguridad a la mitad mejora el peor margen medio entre las alternativas probadas, pero su peor servicio medio baja a 90,75 %. Si exigimos servicio medio ≥95 % en cada escenario, la mejor alternativa ensayada es seguridad al 125 %, con peor servicio del 95,16 %. El 95 % es una preferencia de análisis. Conservamos el plan base en las tablas; no demostramos un óptimo global.</w:t>
      </w:r>
    </w:p>
    <w:p>
      <w:pPr>
        <w:pStyle w:val="Heading2"/>
      </w:pPr>
      <w:r>
        <w:t>Qué vigilar y cuándo actuar</w:t>
      </w:r>
    </w:p>
    <w:p>
      <w:pPr>
        <w:pStyle w:val="ListBullet"/>
        <w:spacing w:after="80"/>
      </w:pPr>
      <w:r>
        <w:t>Pedidos, ventas y demanda no atendida: revisar la previsión al cierre mensual; una caída de ventas con falta de stock no demuestra menor demanda.</w:t>
      </w:r>
    </w:p>
    <w:p>
      <w:pPr>
        <w:pStyle w:val="ListBullet"/>
        <w:spacing w:after="80"/>
      </w:pPr>
      <w:r>
        <w:t>Stock por edad: vender primero coches antiguos y revisar pedidos si el stock proyectado excede la necesidad y el colchón.</w:t>
      </w:r>
    </w:p>
    <w:p>
      <w:pPr>
        <w:pStyle w:val="ListBullet"/>
        <w:spacing w:after="80"/>
      </w:pPr>
      <w:r>
        <w:t>Margen después de CO2 y arancel: revisar campañas y transfers deficitarios; confirmar estos costes antes de ampliar.</w:t>
      </w:r>
    </w:p>
    <w:p>
      <w:pPr>
        <w:pStyle w:val="ListBullet"/>
        <w:spacing w:after="80"/>
      </w:pPr>
      <w:r>
        <w:t>Pipeline, capacidad y caja de la red: confirmar llegadas y vencimientos. Las órdenes nuevas afectan a t+3; los barcos comprometidos permanecen fijos.</w:t>
      </w:r>
    </w:p>
    <w:p>
      <w:r>
        <w:rPr>
          <w:b w:val="0"/>
          <w:sz w:val="18"/>
        </w:rPr>
        <w:t>Falta fijar y validar umbrales numéricos para activar cambios y mejorar la previsión. La revisión mensual ya está implementada; estas decisiones siguen condicionadas a confirmar los datos operativos. Cálculos: 07 y 08; señales completas en seguimiento_mensual.csv del 08.</w:t>
      </w:r>
    </w:p>
    <w:p>
      <w:r>
        <w:br w:type="page"/>
      </w:r>
    </w:p>
    <w:p>
      <w:pPr>
        <w:pStyle w:val="Heading1"/>
      </w:pPr>
      <w:r>
        <w:t>Anexo Plan mensual de fabricación A013</w:t>
      </w:r>
    </w:p>
    <w:p>
      <w:r>
        <w:rPr>
          <w:b w:val="0"/>
        </w:rPr>
        <w:t>Esta tabla responde al detalle mensual de la pregunta 4. Son órdenes de fabricación del plan inicial, en coches; la llegada ocurre tres meses después. Los ceros son decisiones de pedido, no ausencia de demanda. Las revisiones posteriores se reflejan en la simulación del 06.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992"/>
        <w:gridCol w:w="992"/>
        <w:gridCol w:w="992"/>
        <w:gridCol w:w="992"/>
        <w:gridCol w:w="992"/>
        <w:gridCol w:w="992"/>
        <w:gridCol w:w="794"/>
        <w:gridCol w:w="1417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Mes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B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C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MD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SSUV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CSUV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MSUV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S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Total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Enero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136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267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582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1.097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Febrero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134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69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620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1.173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Marzo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147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73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516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642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1.440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Abril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149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248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544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717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1.793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Mayo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127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283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63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485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497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1.516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Junio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132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299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67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528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552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55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1.633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Julio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136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67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559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73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627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1.826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Agosto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135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299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562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197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643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55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1.957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Septiembre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138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304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67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581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208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693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2.044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Octubre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135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294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65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587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620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1.963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Noviembre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134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281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62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598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199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627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1.962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Diciembre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147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309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658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229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731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2.211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A013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1.650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2.617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810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6.185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1.106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7.551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696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20.615</w:t>
            </w:r>
          </w:p>
        </w:tc>
      </w:tr>
    </w:tbl>
    <w:p>
      <w:pPr>
        <w:spacing w:after="20" w:before="0"/>
      </w:pPr>
      <w:r>
        <w:rPr>
          <w:sz w:val="4"/>
        </w:rPr>
      </w:r>
    </w:p>
    <w:p>
      <w:pPr>
        <w:pStyle w:val="Heading2"/>
      </w:pPr>
      <w:r>
        <w:t>Dónde encontrar el desarrollo completo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6123"/>
      </w:tblGrid>
      <w:tr>
        <w:trPr>
          <w:cantSplit/>
          <w:tblHeader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Pregunta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E7EDF2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Notebooks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1 Demanda real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02 Demanda histórica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 Previsión A013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03 Previsión y validación y 04 Producto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3 Escenarios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04 Escenarios y 06 Ventas atendidas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 Producción y stock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F5F7F9"/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05 Plan inicial y 06 Revisión mensual</w:t>
            </w:r>
          </w:p>
        </w:tc>
      </w:tr>
      <w:tr>
        <w:trPr>
          <w:cantSplit/>
        </w:trPr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5 Costes y recomendaciones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07 Costes y 08 Recomendaciones</w:t>
            </w:r>
          </w:p>
        </w:tc>
      </w:tr>
    </w:tbl>
    <w:p>
      <w:pPr>
        <w:spacing w:after="20" w:before="0"/>
      </w:pPr>
      <w:r>
        <w:rPr>
          <w:sz w:val="4"/>
        </w:rPr>
      </w:r>
    </w:p>
    <w:p>
      <w:r>
        <w:rPr>
          <w:b w:val="0"/>
          <w:sz w:val="18"/>
        </w:rPr>
        <w:t>Fuente principal: enunciado Kaido Motors, apartados 7 y 9.1, y siete CSV originales. Las tablas de este documento proceden de los resultados de los notebooks 02–08 y del plan mensual del 09. Las cifras se redondean únicamente para lectura; las tablas CSV conservan su precisión.</w:t>
      </w:r>
    </w:p>
    <w:p>
      <w:r>
        <w:rPr>
          <w:b w:val="0"/>
          <w:sz w:val="18"/>
        </w:rPr>
        <w:t>Este documento complementa el resumen ejecutivo y la presentación. Para regenerarlo tras cambios, primero hay que actualizar los notebooks afectados y las tablas de entrega; después generar este Word, exportar y revisar el PDF, y registrar sus huellas.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Kaido Motors A013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Kaido Motors Respuestas a las cinco preguntas</dc:title>
  <dc:subject>Demanda producción stock y recomendación para A013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