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B2416" w:color="auto" w:val="clear"/>
            <w:tcMar>
              <w:top w:type="dxa" w:w="340"/>
              <w:left w:type="dxa" w:w="360"/>
              <w:bottom w:type="dxa" w:w="340"/>
              <w:right w:type="dxa" w:w="36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Buga</w:t>
            </w:r>
            <w:r>
              <w:rPr>
                <w:rFonts w:ascii="Georgia" w:cs="Georgia" w:eastAsia="Georgia" w:hAnsi="Georgia"/>
                <w:b/>
                <w:bCs/>
                <w:color w:val="E7DCC3"/>
                <w:sz w:val="30"/>
                <w:szCs w:val="30"/>
              </w:rPr>
              <w:t xml:space="preserve">wuga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FD79A"/>
                <w:spacing w:val="40"/>
                <w:sz w:val="15"/>
                <w:szCs w:val="15"/>
              </w:rPr>
              <w:t xml:space="preserve">VERVOLG &amp; OPLEVERING  ·  ZONDAG 31 AUGUSTUS 2026</w:t>
            </w:r>
          </w:p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8"/>
                <w:szCs w:val="38"/>
              </w:rPr>
              <w:t xml:space="preserve">Founder-feedback verwerkt &amp; klaar voor test</w:t>
            </w:r>
          </w:p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Gisteren stond de app volgens het BugaWuga-concept. Vandaag draaide het om het idee van Mark uitwerken</w:t>
            </w:r>
            <w:r>
              <w:rPr>
                <w:rFonts w:ascii="Calibri" w:cs="Calibri" w:eastAsia="Calibri" w:hAnsi="Calibri"/>
                <w:color w:val="EDE7D8"/>
                <w:sz w:val="21"/>
                <w:szCs w:val="21"/>
              </w:rPr>
              <w:t xml:space="preserve"> — direct laten zien wat er openstaat — en de app test-klaar maken en opleveren op de testomgeving.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Georgia" w:cs="Georgia" w:eastAsia="Georgia" w:hAnsi="Georgia"/>
          <w:b/>
          <w:bCs/>
          <w:color w:val="4F7A1B"/>
          <w:sz w:val="24"/>
          <w:szCs w:val="24"/>
        </w:rPr>
        <w:t xml:space="preserve">6</w:t>
      </w:r>
      <w:r>
        <w:rPr>
          <w:rFonts w:ascii="Calibri" w:cs="Calibri" w:eastAsia="Calibri" w:hAnsi="Calibri"/>
          <w:color w:val="6F695B"/>
          <w:sz w:val="19"/>
          <w:szCs w:val="19"/>
        </w:rPr>
        <w:t xml:space="preserve"> plekken tonen “open nu”       </w:t>
      </w:r>
      <w:r>
        <w:rPr>
          <w:rFonts w:ascii="Georgia" w:cs="Georgia" w:eastAsia="Georgia" w:hAnsi="Georgia"/>
          <w:b/>
          <w:bCs/>
          <w:color w:val="4F7A1B"/>
          <w:sz w:val="24"/>
          <w:szCs w:val="24"/>
        </w:rPr>
        <w:t xml:space="preserve">3</w:t>
      </w:r>
      <w:r>
        <w:rPr>
          <w:rFonts w:ascii="Calibri" w:cs="Calibri" w:eastAsia="Calibri" w:hAnsi="Calibri"/>
          <w:color w:val="6F695B"/>
          <w:sz w:val="19"/>
          <w:szCs w:val="19"/>
        </w:rPr>
        <w:t xml:space="preserve"> widget-varianten       </w:t>
      </w:r>
      <w:r>
        <w:rPr>
          <w:rFonts w:ascii="Georgia" w:cs="Georgia" w:eastAsia="Georgia" w:hAnsi="Georgia"/>
          <w:b/>
          <w:bCs/>
          <w:color w:val="4F7A1B"/>
          <w:sz w:val="24"/>
          <w:szCs w:val="24"/>
        </w:rPr>
        <w:t xml:space="preserve">1</w:t>
      </w:r>
      <w:r>
        <w:rPr>
          <w:rFonts w:ascii="Calibri" w:cs="Calibri" w:eastAsia="Calibri" w:hAnsi="Calibri"/>
          <w:color w:val="6F695B"/>
          <w:sz w:val="19"/>
          <w:szCs w:val="19"/>
        </w:rPr>
        <w:t xml:space="preserve"> demo-zending onderweg       </w:t>
      </w:r>
      <w:r>
        <w:rPr>
          <w:rFonts w:ascii="Georgia" w:cs="Georgia" w:eastAsia="Georgia" w:hAnsi="Georgia"/>
          <w:b/>
          <w:bCs/>
          <w:color w:val="4F7A1B"/>
          <w:sz w:val="24"/>
          <w:szCs w:val="24"/>
        </w:rPr>
        <w:t xml:space="preserve">✓</w:t>
      </w:r>
      <w:r>
        <w:rPr>
          <w:rFonts w:ascii="Calibri" w:cs="Calibri" w:eastAsia="Calibri" w:hAnsi="Calibri"/>
          <w:color w:val="6F695B"/>
          <w:sz w:val="19"/>
          <w:szCs w:val="19"/>
        </w:rPr>
        <w:t xml:space="preserve"> live &amp; getest op staging</w:t>
      </w:r>
    </w:p>
    <w:p>
      <w:pPr>
        <w:pBdr>
          <w:bottom w:val="single" w:color="D9D3C4" w:sz="6" w:space="1"/>
        </w:pBdr>
        <w:spacing w:after="60" w:before="60"/>
      </w:pP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6"/>
          <w:szCs w:val="16"/>
        </w:rPr>
        <w:t xml:space="preserve">FOUNDER-FEEDBACK · MARK</w:t>
      </w:r>
    </w:p>
    <w:p>
      <w:pPr>
        <w:pStyle w:val="Heading2"/>
        <w:spacing w:after="60" w:before="20"/>
      </w:pPr>
      <w:r>
        <w:rPr>
          <w:rFonts w:ascii="Georgia" w:cs="Georgia" w:eastAsia="Georgia" w:hAnsi="Georgia"/>
          <w:b/>
          <w:bCs/>
          <w:color w:val="23201A"/>
          <w:sz w:val="30"/>
          <w:szCs w:val="30"/>
        </w:rPr>
        <w:t xml:space="preserve">Beschikbaarheid overal zichtbaar</w:t>
      </w:r>
    </w:p>
    <w:p>
      <w:pPr>
        <w:spacing w:after="140"/>
      </w:pPr>
      <w:r>
        <w:rPr>
          <w:rFonts w:ascii="Calibri" w:cs="Calibri" w:eastAsia="Calibri" w:hAnsi="Calibri"/>
          <w:color w:val="6F695B"/>
          <w:sz w:val="21"/>
          <w:szCs w:val="21"/>
        </w:rPr>
        <w:t xml:space="preserve">Mark's idee tijdens het testen: laat — ook als icoon — meteen zien welke routes en transport nu openstaan, zodat men direct een indruk krijgt. Nu op zes niveaus doorgevoerd.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Live-teller in het menu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aantal open zónder te klikken — precies Mark's “als icoon”.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Badge op Ontdek (website) en Marktplaats (app).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Ook op de mobiele onderbalk, naast Home/Chat.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Hero-pill op de homepage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meteen in beeld, vóór het scrollen.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“🧳 N routes · 📦 N verzoeken — nu open” met live-stip.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Plus het “Nu beschikbaar”-blok naast de gratis check.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Strips op sleutelpagina's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op hoge-intentie-plekken waar aanbod converteert.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“Beschikbaar nu”-balk op Verzenden en Hoe-het-werkt.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Mini-teller in de footer — op elke pagina.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Klik → profiel met reviews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van anoniem naar volledig, privacy-proof.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Klik op iemand → na inloggen diens profiel met beoordelingen + chat.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Publiek blijft anoniem (voornaam + initiaal, grove periode).</w:t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6"/>
          <w:szCs w:val="16"/>
        </w:rPr>
        <w:t xml:space="preserve">VERBONDEN AAN DE WEBSITE</w:t>
      </w:r>
    </w:p>
    <w:p>
      <w:pPr>
        <w:pStyle w:val="Heading2"/>
        <w:spacing w:after="60" w:before="20"/>
      </w:pPr>
      <w:r>
        <w:rPr>
          <w:rFonts w:ascii="Georgia" w:cs="Georgia" w:eastAsia="Georgia" w:hAnsi="Georgia"/>
          <w:b/>
          <w:bCs/>
          <w:color w:val="23201A"/>
          <w:sz w:val="30"/>
          <w:szCs w:val="30"/>
        </w:rPr>
        <w:t xml:space="preserve">Insluitbare widget voor externe sites</w:t>
      </w:r>
    </w:p>
    <w:p>
      <w:pPr>
        <w:spacing w:after="140"/>
      </w:pPr>
      <w:r>
        <w:rPr>
          <w:rFonts w:ascii="Calibri" w:cs="Calibri" w:eastAsia="Calibri" w:hAnsi="Calibri"/>
          <w:color w:val="6F695B"/>
          <w:sz w:val="21"/>
          <w:szCs w:val="21"/>
        </w:rPr>
        <w:t xml:space="preserve">Mark's “verbonden aan de website” in de ruimste zin: een blokje dat je op elke externe marketing-/landingssite kunt plakken, met live het open aanbod.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Drie vormen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past op elke plek.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Kaart (volledige lijst), strip (banner) en mini-badge (alleen de teller).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Aanpasbaar &amp; veilig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klaar om te delen.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Licht/donker thema en taal (NL/EN) via de link.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Geanonimiseerd, framebaar, buiten de wachtwoordpoort.</w:t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6"/>
          <w:szCs w:val="16"/>
        </w:rPr>
        <w:t xml:space="preserve">KLAAR VOOR TEST</w:t>
      </w:r>
    </w:p>
    <w:p>
      <w:pPr>
        <w:pStyle w:val="Heading2"/>
        <w:spacing w:after="60" w:before="20"/>
      </w:pPr>
      <w:r>
        <w:rPr>
          <w:rFonts w:ascii="Georgia" w:cs="Georgia" w:eastAsia="Georgia" w:hAnsi="Georgia"/>
          <w:b/>
          <w:bCs/>
          <w:color w:val="23201A"/>
          <w:sz w:val="30"/>
          <w:szCs w:val="30"/>
        </w:rPr>
        <w:t xml:space="preserve">Zodat testers soepel kunnen starten</w:t>
      </w:r>
    </w:p>
    <w:p>
      <w:pPr>
        <w:spacing w:after="140"/>
      </w:pPr>
      <w:r>
        <w:rPr>
          <w:rFonts w:ascii="Calibri" w:cs="Calibri" w:eastAsia="Calibri" w:hAnsi="Calibri"/>
          <w:color w:val="6F695B"/>
          <w:sz w:val="21"/>
          <w:szCs w:val="21"/>
        </w:rPr>
        <w:t xml:space="preserve">De laatste stappen om de app met een gerust hart door te sturen voor testdoeleinden.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In-app feedback-knop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geen verspreide opmerkingen — alles gebundeld.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Zwevende knop op elke pagina → soort (bug/idee/vraag/anders) + bericht.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Komt binnen in het Control Center, mét gebruiker + pagina.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Demo-zending onderweg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toont de statusstappen zonder alles zelf te doen.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PH-2026-000102 staat op “klaar voor afhalen”.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Volledige custody-tijdlijn + ontvangstcode 834217.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Testgids bijgewerkt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golden-path + wat is nog gesimuleerd.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Snelle route (±5 min) en scenario's per rol.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Ook als deelbaar Word-document.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Tester-invite klaar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alles wat een tester nodig heeft in één bericht: URL, toegang, demo-accounts en de golden-path.</w:t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6"/>
          <w:szCs w:val="16"/>
        </w:rPr>
        <w:t xml:space="preserve">BEHEER &amp; INZICHT</w:t>
      </w:r>
    </w:p>
    <w:p>
      <w:pPr>
        <w:pStyle w:val="Heading2"/>
        <w:spacing w:after="60" w:before="20"/>
      </w:pPr>
      <w:r>
        <w:rPr>
          <w:rFonts w:ascii="Georgia" w:cs="Georgia" w:eastAsia="Georgia" w:hAnsi="Georgia"/>
          <w:b/>
          <w:bCs/>
          <w:color w:val="23201A"/>
          <w:sz w:val="30"/>
          <w:szCs w:val="30"/>
        </w:rPr>
        <w:t xml:space="preserve">Zien wie er actief is</w:t>
      </w:r>
    </w:p>
    <w:p>
      <w:pPr>
        <w:spacing w:after="140"/>
      </w:pPr>
      <w:r>
        <w:rPr>
          <w:rFonts w:ascii="Calibri" w:cs="Calibri" w:eastAsia="Calibri" w:hAnsi="Calibri"/>
          <w:color w:val="6F695B"/>
          <w:sz w:val="21"/>
          <w:szCs w:val="21"/>
        </w:rPr>
        <w:t xml:space="preserve">Tijdens de test kwam de vraag op: hoeveel mensen zijn er effectief bezig? Nu meetbaar — voor de test én breder beheer, privacy-vriendelijk en zonder externe tool.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Activiteit-dashboard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uit bestaande data (sessies + audit-log) — geen aparte tracking, dus met terugwerkende kracht.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Actieve gebruikers 24u/7d/30d + wie er actief is geweest (laatste login + logins/acties per lid).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Activiteitstrechter van registratie tot levering.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color w:val="23201A"/>
          <w:sz w:val="21"/>
          <w:szCs w:val="21"/>
        </w:rPr>
        <w:t xml:space="preserve">Event-laag</w:t>
      </w:r>
      <w:r>
        <w:rPr>
          <w:rFonts w:ascii="Calibri" w:cs="Calibri" w:eastAsia="Calibri" w:hAnsi="Calibri"/>
          <w:color w:val="6F695B"/>
          <w:sz w:val="21"/>
          <w:szCs w:val="21"/>
        </w:rPr>
        <w:t xml:space="preserve">  —  ook niet-transactionele acties, vanaf nu.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Paginaweergaven, “check gebruikt” en widget-kliks.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23201A"/>
          <w:sz w:val="20"/>
          <w:szCs w:val="20"/>
        </w:rPr>
        <w:t xml:space="preserve">Privacy-vriendelijk &amp; self-hosted; later koppelbaar aan een tool als PostHog.</w:t>
      </w:r>
    </w:p>
    <w:p>
      <w:pPr>
        <w:pBdr>
          <w:bottom w:val="single" w:color="D9D3C4" w:sz="6" w:space="1"/>
        </w:pBdr>
        <w:spacing w:after="60" w:before="60"/>
      </w:pPr>
    </w:p>
    <w:p>
      <w:pPr>
        <w:spacing w:after="4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6"/>
          <w:szCs w:val="16"/>
        </w:rPr>
        <w:t xml:space="preserve">OPGELEVERD</w:t>
      </w:r>
    </w:p>
    <w:p>
      <w:pPr>
        <w:pStyle w:val="Heading2"/>
        <w:spacing w:after="60" w:before="20"/>
      </w:pPr>
      <w:r>
        <w:rPr>
          <w:rFonts w:ascii="Georgia" w:cs="Georgia" w:eastAsia="Georgia" w:hAnsi="Georgia"/>
          <w:b/>
          <w:bCs/>
          <w:color w:val="23201A"/>
          <w:sz w:val="30"/>
          <w:szCs w:val="30"/>
        </w:rPr>
        <w:t xml:space="preserve">Live op de testomgeving</w:t>
      </w:r>
    </w:p>
    <w:tbl>
      <w:tblPr>
        <w:tblW w:type="pct" w:w="100%"/>
        <w:tblBorders>
          <w:top w:val="single" w:color="D9D3C4" w:sz="4"/>
          <w:left w:val="single" w:color="D9D3C4" w:sz="4"/>
          <w:bottom w:val="single" w:color="D9D3C4" w:sz="4"/>
          <w:right w:val="single" w:color="D9D3C4" w:sz="4"/>
          <w:insideH w:val="single" w:color="D9D3C4" w:sz="4"/>
          <w:insideV w:val="single" w:color="D9D3C4" w:sz="4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F7A1B"/>
                <w:spacing w:val="30"/>
                <w:sz w:val="14"/>
                <w:szCs w:val="14"/>
              </w:rPr>
              <w:t xml:space="preserve">DEPLOY &amp; RESEED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3201A"/>
                <w:sz w:val="20"/>
                <w:szCs w:val="20"/>
              </w:rPr>
              <w:t xml:space="preserve">Uitgevoerd op staging</w:t>
            </w:r>
          </w:p>
          <w:p>
            <w:r>
              <w:rPr>
                <w:rFonts w:ascii="Calibri" w:cs="Calibri" w:eastAsia="Calibri" w:hAnsi="Calibri"/>
                <w:color w:val="6F695B"/>
                <w:sz w:val="18"/>
                <w:szCs w:val="18"/>
              </w:rPr>
              <w:t xml:space="preserve">Laatste versie live, database ververst met verse demo-data.</w:t>
            </w:r>
          </w:p>
        </w:tc>
        <w:tc>
          <w:tcPr>
            <w:tcW w:type="dxa" w:w="4680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F7A1B"/>
                <w:spacing w:val="30"/>
                <w:sz w:val="14"/>
                <w:szCs w:val="14"/>
              </w:rPr>
              <w:t xml:space="preserve">VERIFICATIE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3201A"/>
                <w:sz w:val="20"/>
                <w:szCs w:val="20"/>
              </w:rPr>
              <w:t xml:space="preserve">Publiek bevestigd — app gezond</w:t>
            </w:r>
          </w:p>
          <w:p>
            <w:r>
              <w:rPr>
                <w:rFonts w:ascii="Calibri" w:cs="Calibri" w:eastAsia="Calibri" w:hAnsi="Calibri"/>
                <w:color w:val="6F695B"/>
                <w:sz w:val="18"/>
                <w:szCs w:val="18"/>
              </w:rPr>
              <w:t xml:space="preserve">Open aanbod live zichtbaar (3 routes · 1 verzoek); schema + seed correct toegepast.</w:t>
            </w:r>
          </w:p>
        </w:tc>
      </w:tr>
      <w:tr>
        <w:tc>
          <w:tcPr>
            <w:tcW w:type="dxa" w:w="4680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F7A1B"/>
                <w:spacing w:val="30"/>
                <w:sz w:val="14"/>
                <w:szCs w:val="14"/>
              </w:rPr>
              <w:t xml:space="preserve">PRIVACY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3201A"/>
                <w:sz w:val="20"/>
                <w:szCs w:val="20"/>
              </w:rPr>
              <w:t xml:space="preserve">Consistent behouden</w:t>
            </w:r>
          </w:p>
          <w:p>
            <w:r>
              <w:rPr>
                <w:rFonts w:ascii="Calibri" w:cs="Calibri" w:eastAsia="Calibri" w:hAnsi="Calibri"/>
                <w:color w:val="6F695B"/>
                <w:sz w:val="18"/>
                <w:szCs w:val="18"/>
              </w:rPr>
              <w:t xml:space="preserve">Publiek anoniem; volledige gegevens &amp; contact pas na inloggen/verificatie.</w:t>
            </w:r>
          </w:p>
        </w:tc>
        <w:tc>
          <w:tcPr>
            <w:tcW w:type="dxa" w:w="4680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F7A1B"/>
                <w:spacing w:val="30"/>
                <w:sz w:val="14"/>
                <w:szCs w:val="14"/>
              </w:rPr>
              <w:t xml:space="preserve">NOG GESIMULEERD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3201A"/>
                <w:sz w:val="20"/>
                <w:szCs w:val="20"/>
              </w:rPr>
              <w:t xml:space="preserve">Duidelijk gemarkeerd</w:t>
            </w:r>
          </w:p>
          <w:p>
            <w:r>
              <w:rPr>
                <w:rFonts w:ascii="Calibri" w:cs="Calibri" w:eastAsia="Calibri" w:hAnsi="Calibri"/>
                <w:color w:val="6F695B"/>
                <w:sz w:val="18"/>
                <w:szCs w:val="18"/>
              </w:rPr>
              <w:t xml:space="preserve">Betaling, KYC, Facebook-login en berichten zijn nog demo — vermeld in de testgids.</w:t>
            </w:r>
          </w:p>
        </w:tc>
      </w:tr>
    </w:tbl>
    <w:p>
      <w:pPr>
        <w:pBdr>
          <w:top w:val="single" w:color="D9D3C4" w:sz="6" w:space="6"/>
        </w:pBdr>
        <w:spacing w:before="300"/>
      </w:pPr>
      <w:r>
        <w:rPr>
          <w:rFonts w:ascii="Calibri" w:cs="Calibri" w:eastAsia="Calibri" w:hAnsi="Calibri"/>
          <w:color w:val="6F695B"/>
          <w:sz w:val="16"/>
          <w:szCs w:val="16"/>
        </w:rPr>
        <w:t xml:space="preserve">BugaWuga · corridor-crowdshipping · pilot Nederland → Suriname · vervolg &amp; oplevering 31 augustus 2026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color w:val="6EA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0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23201A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BugaWuga test-oplevering</dc:title>
  <dc:creator>BugaWuga</dc:creator>
  <dc:description>Wat er op 31 augustus 2026 aan de BugaWuga-app is gerealiseerd.</dc:description>
  <cp:lastModifiedBy>Un-named</cp:lastModifiedBy>
  <cp:revision>1</cp:revision>
  <dcterms:created xsi:type="dcterms:W3CDTF">2026-09-05T09:06:39.499Z</dcterms:created>
  <dcterms:modified xsi:type="dcterms:W3CDTF">2026-09-05T09:06:39.499Z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