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2A44"/>
          <w:sz w:val="56"/>
          <w:szCs w:val="56"/>
        </w:rPr>
        <w:t xml:space="preserve">OLYMPUS ELITES</w:t>
      </w:r>
    </w:p>
    <w:p>
      <w:pPr>
        <w:spacing w:after="60"/>
        <w:jc w:val="center"/>
      </w:pPr>
      <w:r>
        <w:rPr>
          <w:b/>
          <w:bCs/>
          <w:color w:val="B8860B"/>
          <w:sz w:val="32"/>
          <w:szCs w:val="32"/>
        </w:rPr>
        <w:t xml:space="preserve">Cahier des Charges Fonctionnel et Technique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Plateforme Web Officielle — Version alignée sur la Stratégie Complète v4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Côte d'Ivoire · Édition 2025-2026</w:t>
      </w:r>
    </w:p>
    <w:p>
      <w:pPr>
        <w:pStyle w:val="Heading1"/>
        <w:spacing w:after="160" w:before="360"/>
      </w:pPr>
      <w:r>
        <w:rPr>
          <w:b/>
          <w:bCs/>
          <w:color w:val="1F2A44"/>
        </w:rPr>
        <w:t xml:space="preserve">1. Contexte et Objectifs du Projet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1.1 Mission et Vision Stratégique</w:t>
      </w:r>
    </w:p>
    <w:p>
      <w:pPr>
        <w:spacing w:after="120"/>
      </w:pPr>
      <w:r>
        <w:t xml:space="preserve">La plateforme Olympus Elites constitue l'épine dorsale numérique d'un programme inter-établissements d'excellence scolaire et sportive. Elle doit matérialiser la convergence des trois piliers fondamentaux du projet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Compétition : </w:t>
      </w:r>
      <w:r>
        <w:t xml:space="preserve">confrontations sportives (Football, Basketball, Handball filles, Gymnastique), intellectuelles et artistiques entre lycées et collèges.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Formation : </w:t>
      </w:r>
      <w:r>
        <w:t xml:space="preserve">diffusion gratuite de modules de logique formelle, discipline absente des programmes officiels, préparant notamment aux concours de la Fonction Publique.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Orientation : </w:t>
      </w:r>
      <w:r>
        <w:t xml:space="preserve">interface de connexion entre les élèves (15-22 ans) et les universités partenaires, incluant le suivi des bourses d'études (réductions de scolarité).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1.2 Objectifs Métiers</w:t>
      </w:r>
    </w:p>
    <w:p>
      <w:pPr>
        <w:spacing w:after="120"/>
      </w:pPr>
      <w:r>
        <w:t xml:space="preserve">Le système </w:t>
      </w:r>
      <w:r>
        <w:rPr>
          <w:b/>
          <w:bCs/>
        </w:rPr>
        <w:t xml:space="preserve">devra impérativement</w:t>
      </w:r>
      <w:r>
        <w:t xml:space="preserve"> remplir les fonctions suivantes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Automatisation de la gestion opérationnelle : </w:t>
      </w:r>
      <w:r>
        <w:t xml:space="preserve">inscriptions des établissements, paiements (150 000 FCFA, tenues incluses) et création automatique des comptes du Bureau des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Centralisation des scores : </w:t>
      </w:r>
      <w:r>
        <w:t xml:space="preserve">saisie décentralisée sur le terrain et agrégation algorithmique des résultats des 6 disciplines.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Support pédagogique : </w:t>
      </w:r>
      <w:r>
        <w:t xml:space="preserve">diffusion sécurisée des supports bimensuels et moteur d'évaluation de type quiz (CRACK).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Personnalisation des tenues : </w:t>
      </w:r>
      <w:r>
        <w:t xml:space="preserve">module Maillots permettant à chaque établissement de configurer et commander ses tenues officielles.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Suivi des récompenses et bourses : </w:t>
      </w:r>
      <w:r>
        <w:t xml:space="preserve">gestion des dotations officielles et des bourses d'études accordées par les universités partenaires.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1.3 Segments Utilisateurs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Utilisateurs primaires : </w:t>
      </w:r>
      <w:r>
        <w:t xml:space="preserve">élèves (scores, formation, orientation), Bureaux des 5 (administration locale), professeurs référents (EPS et Professeur Principal — validation).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Utilisateurs secondaires : </w:t>
      </w:r>
      <w:r>
        <w:t xml:space="preserve">universités partenaires (visibilité, recrutement, bourses), sponsors (branding, récompenses surprises), Ministère de l'Éducation Nationale (suivi pédagogique), parents et médias.</w:t>
      </w:r>
    </w:p>
    <w:p>
      <w:pPr>
        <w:pStyle w:val="Heading1"/>
        <w:spacing w:after="160" w:before="360"/>
      </w:pPr>
      <w:r>
        <w:rPr>
          <w:b/>
          <w:bCs/>
          <w:color w:val="1F2A44"/>
        </w:rPr>
        <w:t xml:space="preserve">2. Architecture de l'Information et Navigation</w:t>
      </w:r>
    </w:p>
    <w:p>
      <w:pPr>
        <w:spacing w:after="120"/>
      </w:pPr>
      <w:r>
        <w:t xml:space="preserve">L'arborescence doit être optimisée pour un usage mobile intensif (PWA)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Accueil (Dashboard public) : </w:t>
      </w:r>
      <w:r>
        <w:t xml:space="preserve">fil d'actualité, bannières santé (Octobre Rose / Novembre Bleu), partenaires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Compétitions (Live Center) : </w:t>
      </w:r>
      <w:r>
        <w:t xml:space="preserve">résultats en direct, classements généraux, fiches athlètes (Gymnastique, 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Espace Logique &amp; Formation : </w:t>
      </w:r>
      <w:r>
        <w:t xml:space="preserve">supports bimensuels et moteur de test CRACK avec chronomètre.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Orientation &amp; Séminaires : </w:t>
      </w:r>
      <w:r>
        <w:t xml:space="preserve">répertoire des universités, fiches métiers, inscription aux séminaires, suivi des bourses d'études.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Maillots : </w:t>
      </w:r>
      <w:r>
        <w:t xml:space="preserve">module de personnalisation et de commande des tenues officielles.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Espace Membre (« Bureau des 5 ») : </w:t>
      </w:r>
      <w:r>
        <w:t xml:space="preserve">interface de gestion pour les responsables d'écoles.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Social Wall : </w:t>
      </w:r>
      <w:r>
        <w:t xml:space="preserve">intégration des flux TikTok / Instagram avec le hashtag officiel de l'édition.</w:t>
      </w:r>
    </w:p>
    <w:p>
      <w:pPr>
        <w:pStyle w:val="Heading1"/>
        <w:spacing w:after="160" w:before="360"/>
      </w:pPr>
      <w:r>
        <w:rPr>
          <w:b/>
          <w:bCs/>
          <w:color w:val="1F2A44"/>
        </w:rPr>
        <w:t xml:space="preserve">3. Axe Compétition &amp; Calculateur de Performance</w:t>
      </w:r>
    </w:p>
    <w:p>
      <w:pPr>
        <w:spacing w:after="120"/>
      </w:pPr>
      <w:r>
        <w:t xml:space="preserve">Le système </w:t>
      </w:r>
      <w:r>
        <w:rPr>
          <w:b/>
          <w:bCs/>
        </w:rPr>
        <w:t xml:space="preserve">doit</w:t>
      </w:r>
      <w:r>
        <w:t xml:space="preserve"> abandonner la gestion manuelle au profit de workflows automatisés couvrant les </w:t>
      </w:r>
      <w:r>
        <w:rPr>
          <w:b/>
          <w:bCs/>
        </w:rPr>
        <w:t xml:space="preserve">6 disciplines officielles</w:t>
      </w:r>
      <w:r>
        <w:t xml:space="preserve"> de l'édition.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3.1 Module de Saisie Mobile Terrain (« Field Entry »)</w:t>
      </w:r>
    </w:p>
    <w:p>
      <w:pPr>
        <w:spacing w:after="120"/>
      </w:pPr>
      <w:r>
        <w:t xml:space="preserve">Interface de saisie simplifiée destinée au </w:t>
      </w:r>
      <w:r>
        <w:rPr>
          <w:b/>
          <w:bCs/>
        </w:rPr>
        <w:t xml:space="preserve">Responsable Sport</w:t>
      </w:r>
      <w:r>
        <w:t xml:space="preserve"> et au </w:t>
      </w:r>
      <w:r>
        <w:rPr>
          <w:b/>
          <w:bCs/>
        </w:rPr>
        <w:t xml:space="preserve">Responsable Intellectuel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Validation : </w:t>
      </w:r>
      <w:r>
        <w:t xml:space="preserve">double authentification requise (Responsable + Professeur référent : Professeur d'EPS pour les épreuves sportives et gymniques, Professeur Principal pour les épreuves intellectuelles) pour figer un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Temps réel : </w:t>
      </w:r>
      <w:r>
        <w:t xml:space="preserve">toute validation déclenche une mise à jour instantanée du cache pour l'affichage public (Live Center).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3.2 Spécifications des Épreuves (Calculateur Dédié)</w:t>
      </w:r>
    </w:p>
    <w:p>
      <w:pPr>
        <w:spacing w:after="120"/>
      </w:pPr>
      <w:r>
        <w:t xml:space="preserve">Le système </w:t>
      </w:r>
      <w:r>
        <w:rPr>
          <w:b/>
          <w:bCs/>
        </w:rPr>
        <w:t xml:space="preserve">devra intégrer</w:t>
      </w:r>
      <w:r>
        <w:t xml:space="preserve"> des formulaires spécifiques par discipline avec validation des types de données (entiers / décimaux)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60"/>
        <w:gridCol w:w="2400"/>
      </w:tblGrid>
      <w:tr>
        <w:trPr>
          <w:tblHeader/>
        </w:trPr>
        <w:tc>
          <w:tcPr>
            <w:tcW w:type="dxa" w:w="15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2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 / Effectif</w:t>
            </w:r>
          </w:p>
        </w:tc>
        <w:tc>
          <w:tcPr>
            <w:tcW w:type="dxa" w:w="326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Métriques de saisie (Input)</w:t>
            </w:r>
          </w:p>
        </w:tc>
        <w:tc>
          <w:tcPr>
            <w:tcW w:type="dxa" w:w="2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Logique de classement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Football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6v6 sur le terrain (5 joueurs + 1 gardien) — 11 inscrits par établissement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match, buteurs, cartons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Points (3/1/0) + goal average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Basketball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contre 5 — 5 inscrits</w:t>
            </w:r>
          </w:p>
        </w:tc>
        <w:tc>
          <w:tcPr>
            <w:tcW w:type="dxa" w:w="32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match, marqueurs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Points (2/1/0) + point average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Handball (Filles)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contre 5 — 5 joueuses inscrites (filles uniquement)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match, buteuses, sanctions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Points (3/1/0) + goal average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Intellectuel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Équipe de 4 élèves</w:t>
            </w:r>
          </w:p>
        </w:tc>
        <w:tc>
          <w:tcPr>
            <w:tcW w:type="dxa" w:w="32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Scores Culture générale (buzzer), Histoire (QCM + dissertation), Logique ; temps de réponse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Chronomètre cumulé + points d'exactitude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Gymnastique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Individuel</w:t>
            </w:r>
          </w:p>
        </w:tc>
        <w:tc>
          <w:tcPr>
            <w:tcW w:type="dxa" w:w="3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50-70 m (sec), saut en longueur sans élan (cm), lancer de javelot (m), lancer de poids (m), note d'enchaînement gymnique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Algorithme de pondération multi-épreuves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Individuel</w:t>
            </w:r>
          </w:p>
        </w:tc>
        <w:tc>
          <w:tcPr>
            <w:tcW w:type="dxa" w:w="32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Notes du jury (dessin, créativité)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Moyenne pondérée des notes du jury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</w:rPr>
        <w:t xml:space="preserve">Le formulaire Handball impose un contrôle de conformité : équipes exclusivement féminines.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3.3 Moteur de Classement Général</w:t>
      </w:r>
    </w:p>
    <w:p>
      <w:pPr>
        <w:spacing w:after="120"/>
      </w:pPr>
      <w:r>
        <w:t xml:space="preserve">L'algorithme de classement inter-établissements </w:t>
      </w:r>
      <w:r>
        <w:rPr>
          <w:b/>
          <w:bCs/>
        </w:rPr>
        <w:t xml:space="preserve">devra automatiser</w:t>
      </w:r>
      <w:r>
        <w:t xml:space="preserve"> l'agrégation des scores des 6 disciplines pour générer le « Classement Excellence » sans intervention humaine, avec classements par discipline et classement général.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3.4 Module Récompenses &amp; Palmarès</w:t>
      </w:r>
    </w:p>
    <w:p>
      <w:pPr>
        <w:spacing w:after="120"/>
      </w:pPr>
      <w:r>
        <w:t xml:space="preserve">Le système devra publier automatiquement, à l'issue de la Grande Finale, le palmarès officiel et les dotations associées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26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Dotation financière</w:t>
            </w:r>
          </w:p>
        </w:tc>
        <w:tc>
          <w:tcPr>
            <w:tcW w:type="dxa" w:w="416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Autres récompenses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Football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400 000 FCFA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Médailles, trophée officiel, bourse d'études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Intellectuel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300 000 FCFA</w:t>
            </w:r>
          </w:p>
        </w:tc>
        <w:tc>
          <w:tcPr>
            <w:tcW w:type="dxa" w:w="4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Médailles, trophée officiel, bourse d'études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Basketball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300 000 FCFA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Médailles, trophée officiel, bourse d'études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Handball (Filles)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100 000 FCFA</w:t>
            </w:r>
          </w:p>
        </w:tc>
        <w:tc>
          <w:tcPr>
            <w:tcW w:type="dxa" w:w="4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Médailles, trophée officiel, bourse d'études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Gymnastique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100 000 FCFA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Médailles, trophée officiel, bourse d'études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100 000 FCFA</w:t>
            </w:r>
          </w:p>
        </w:tc>
        <w:tc>
          <w:tcPr>
            <w:tcW w:type="dxa" w:w="4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Médailles, trophée officiel, bourse d'études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1 300 000 FCFA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 récompenses surprises des partenaires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</w:rPr>
        <w:t xml:space="preserve">Les récompenses surprises des sponsors sont saisies par l'administration centrale et annoncées lors de la Grande Finale (Phase 4).</w:t>
      </w:r>
    </w:p>
    <w:p>
      <w:pPr>
        <w:pStyle w:val="Heading1"/>
        <w:spacing w:after="160" w:before="360"/>
      </w:pPr>
      <w:r>
        <w:rPr>
          <w:b/>
          <w:bCs/>
          <w:color w:val="1F2A44"/>
        </w:rPr>
        <w:t xml:space="preserve">4. Formation Logique &amp; Orientation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4.1 Module Logique / CRACK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Quiz Engine : </w:t>
      </w:r>
      <w:r>
        <w:t xml:space="preserve">module de test rapide (style CRACK) avec compte à rebours visuel pour stimuler l'aspect ludique.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Dépôt de ressources : </w:t>
      </w:r>
      <w:r>
        <w:t xml:space="preserve">section de téléchargement bimensuelle sécurisée (PDF). Le contenu doit obligatoirement être tagué « Préparation Concours Fonction Publique » pour l'optimisation SEO et institutionnelle (argument clé auprès du Ministère).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4.2 Vitrine Orientation &amp; Bourses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Fiches universités : </w:t>
      </w:r>
      <w:r>
        <w:t xml:space="preserve">pages dynamiques avec formulaires de contact directs et tracking de l'intérêt des élèves pour le reporting aux partenaires.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Gestion des séminaires : </w:t>
      </w:r>
      <w:r>
        <w:t xml:space="preserve">module de réservation de places pour les deux séminaires annuels (Phase 1 — octobre et Phase 4 — avril).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Suivi des bourses d'études : </w:t>
      </w:r>
      <w:r>
        <w:t xml:space="preserve">espace dédié permettant aux lauréats de suivre l'attribution des réductions de scolarité accordées par les universités partenaires (montants et modalités définis avec chaque partenaire).</w:t>
      </w:r>
    </w:p>
    <w:p>
      <w:pPr>
        <w:pStyle w:val="Heading1"/>
        <w:spacing w:after="160" w:before="360"/>
      </w:pPr>
      <w:r>
        <w:rPr>
          <w:b/>
          <w:bCs/>
          <w:color w:val="1F2A44"/>
        </w:rPr>
        <w:t xml:space="preserve">5. Gestion Administrative : le « Bureau des 5 »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5.1 Workflow d'Onboarding Automatisé</w:t>
      </w:r>
    </w:p>
    <w:p>
      <w:pPr>
        <w:spacing w:after="120"/>
      </w:pPr>
      <w:r>
        <w:t xml:space="preserve">Le système </w:t>
      </w:r>
      <w:r>
        <w:rPr>
          <w:b/>
          <w:bCs/>
        </w:rPr>
        <w:t xml:space="preserve">doit</w:t>
      </w:r>
      <w:r>
        <w:t xml:space="preserve"> implémenter le flux suivant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Formulaire d'inscription : </w:t>
      </w:r>
      <w:r>
        <w:t xml:space="preserve">saisie des données de l'établissement (identité, logo, contacts, professeurs référents).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Passerelle de paiement : </w:t>
      </w:r>
      <w:r>
        <w:t xml:space="preserve">règlement obligatoire de </w:t>
      </w:r>
      <w:r>
        <w:rPr>
          <w:b/>
          <w:bCs/>
        </w:rPr>
        <w:t xml:space="preserve">150 000 FCFA</w:t>
      </w:r>
      <w:r>
        <w:t xml:space="preserve"> par établissement via Mobile Money, virement bancaire ou chèque. Ce tarif couvre la participation à toutes les disciplines, les présélections internes, toutes les phases de compétition, ainsi que les tenues officielles personnalisées (maillot + short) — aucun frais supplémentaire de personnalisation.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Trigger Webhook : </w:t>
      </w:r>
      <w:r>
        <w:t xml:space="preserve">dès validation du paiement, génération automatique des 5 comptes utilisateurs avec rôles prédéfinis, envoyés par e-mail / SMS, et activation de l'accès au module Maillots.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5.2 Matrice des Droits d'Accès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60"/>
      </w:tblGrid>
      <w:tr>
        <w:trPr>
          <w:tblHeader/>
        </w:trPr>
        <w:tc>
          <w:tcPr>
            <w:tcW w:type="dxa" w:w="2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7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Niveau d'accès</w:t>
            </w:r>
          </w:p>
        </w:tc>
        <w:tc>
          <w:tcPr>
            <w:tcW w:type="dxa" w:w="536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 critique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Président / Ambassadeur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local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finale des compositions d'équipes ; lien avec l'équipe centrale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Secrétaire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Éditeur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 la liste des membres, inscriptions, archives et comptes-rendus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 Sport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Contributeur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Saisie des performances Football, Basketball, Handball et Gymnastique ; gestion des présélections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 Intellectuel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Contributeur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Animation des quiz, saisie des résultats Culture générale, Histoire et Logique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 Communication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Éditeur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Publication de « Buzz » internes, flux sociaux et gestion de la personnalisation des maillots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</w:rPr>
        <w:t xml:space="preserve">Superviseurs adultes : le Professeur d'EPS (validation des épreuves sportives et gymniques) et le Professeur Principal (validation des épreuves intellectuelles et organisation générale) disposent d'un rôle « Validateur ».</w:t>
      </w:r>
    </w:p>
    <w:p>
      <w:pPr>
        <w:pStyle w:val="Heading1"/>
        <w:spacing w:after="160" w:before="360"/>
      </w:pPr>
      <w:r>
        <w:rPr>
          <w:b/>
          <w:bCs/>
          <w:color w:val="1F2A44"/>
        </w:rPr>
        <w:t xml:space="preserve">6. Module Maillots — Personnalisation des Tenues</w:t>
      </w:r>
    </w:p>
    <w:p>
      <w:pPr>
        <w:spacing w:after="120"/>
      </w:pPr>
      <w:r>
        <w:t xml:space="preserve">Fonctionnalité </w:t>
      </w:r>
      <w:r>
        <w:rPr>
          <w:b/>
          <w:bCs/>
        </w:rPr>
        <w:t xml:space="preserve">obligatoire</w:t>
      </w:r>
      <w:r>
        <w:t xml:space="preserve"> (nouveauté v4). Chaque établissement inscrit dispose, dès la Phase 0, d'un accès à un module de personnalisation de ses tenues officielles permettant de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Choisir les couleurs principales et secondaires du maillot (aux couleurs de l'établissement).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Saisir le numéro, la taille et le nom de chaque joueur.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le logo de l'établissement sur le maillot.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Visualiser un </w:t>
      </w:r>
      <w:r>
        <w:rPr>
          <w:b/>
          <w:bCs/>
        </w:rPr>
        <w:t xml:space="preserve">aperçu 3D</w:t>
      </w:r>
      <w:r>
        <w:t xml:space="preserve"> du maillot avant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Valider et envoyer la commande directement depuis l'espace Bureau des 5 (droit d'édition : Responsable Communication ; validation finale : Président).</w:t>
      </w:r>
    </w:p>
    <w:p>
      <w:pPr>
        <w:spacing w:after="120"/>
      </w:pPr>
      <w:r>
        <w:rPr>
          <w:i/>
          <w:iCs/>
          <w:color w:val="555555"/>
        </w:rPr>
        <w:t xml:space="preserve">La commande est traitée dès la Phase 0 (septembre) pour une livraison avant les premières compétitions. Un suivi de statut de commande (Saisie → Validée → En production → Livrée) doit être visible dans l'espace membre.</w:t>
      </w:r>
    </w:p>
    <w:p>
      <w:pPr>
        <w:pStyle w:val="Heading1"/>
        <w:spacing w:after="160" w:before="360"/>
      </w:pPr>
      <w:r>
        <w:rPr>
          <w:b/>
          <w:bCs/>
          <w:color w:val="1F2A44"/>
        </w:rPr>
        <w:t xml:space="preserve">7. Calendrier Dynamique et Habillage Thématique</w:t>
      </w:r>
    </w:p>
    <w:p>
      <w:pPr>
        <w:spacing w:after="120"/>
      </w:pPr>
      <w:r>
        <w:t xml:space="preserve">Le design système (CSS) </w:t>
      </w:r>
      <w:r>
        <w:rPr>
          <w:b/>
          <w:bCs/>
        </w:rPr>
        <w:t xml:space="preserve">devra changer dynamiquement</w:t>
      </w:r>
      <w:r>
        <w:t xml:space="preserve"> selon la phase du calendrier officiel (Bloc 4 de la stratégie v4)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5360"/>
      </w:tblGrid>
      <w:tr>
        <w:trPr>
          <w:tblHeader/>
        </w:trPr>
        <w:tc>
          <w:tcPr>
            <w:tcW w:type="dxa" w:w="27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536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Habillage / Priorités d'affichage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0 — Installation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Septembre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Thème standard ; mise en avant du module Maillots et de l'installation des Bureaux des 5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— Lancement (Octobre Rose)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Octobre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Habillage CSS rose ; bannières de sensibilisation au cancer du sein prioritaires ; Séminaire 1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— Éliminatoires (Novembre Bleu)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Novembre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Habillage CSS bleu ; focus santé masculine (prostate) ; 1re phase éliminatoire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— Compétition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Janvier</w:t>
            </w:r>
          </w:p>
        </w:tc>
        <w:tc>
          <w:tcPr>
            <w:tcW w:type="dxa" w:w="53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Affichage orienté « Performance » ; 2e phase éliminatoire, Live Center prioritaire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 — Grande Finale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Avril</w:t>
            </w:r>
          </w:p>
        </w:tc>
        <w:tc>
          <w:tcPr>
            <w:tcW w:type="dxa" w:w="5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Affichage « Finales » ; palmarès, récompenses, bourses, Séminaire 2, bilan de l'édition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2A44"/>
        </w:rPr>
        <w:t xml:space="preserve">8. Spécifications Techniques et Webmarketing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8.1 Exigences Techniques Majeures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Mobile-First / PWA : </w:t>
      </w:r>
      <w:r>
        <w:t xml:space="preserve">plateforme installable en tant que Progressive Web App, sans passage par un App Store, accessible sur tous navigateurs.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Performance : </w:t>
      </w:r>
      <w:r>
        <w:t xml:space="preserve">temps de chargement &lt; 2 s sur réseau 3G (optimisation des images et lazy loading obligatoires), adaptée aux connexions des établissements scolaires.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Social Wall : </w:t>
      </w:r>
      <w:r>
        <w:t xml:space="preserve">intégration via API des flux TikTok / Instagram avec le hashtag officiel de l'édition.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8.2 Branding et Sponsoring</w:t>
      </w:r>
    </w:p>
    <w:p>
      <w:pPr>
        <w:spacing w:after="120"/>
      </w:pPr>
      <w:r>
        <w:t xml:space="preserve">Des zones de branding fixes et dynamiques </w:t>
      </w:r>
      <w:r>
        <w:rPr>
          <w:b/>
          <w:bCs/>
        </w:rPr>
        <w:t xml:space="preserve">doivent être réservées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Espaces bannières : </w:t>
      </w:r>
      <w:r>
        <w:t xml:space="preserve">slots dédiés aux sponsors (banques, télécoms, boissons).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Co-branding : </w:t>
      </w:r>
      <w:r>
        <w:t xml:space="preserve">logos des sponsors sur les exports de feuilles de matchs et les tableaux de scores partagés sur les réseaux sociaux, en cohérence avec le branding des maillots.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Espace médias : </w:t>
      </w:r>
      <w:r>
        <w:t xml:space="preserve">mention « Média officiel Olympus Elites » pour les partenaires médias (RTI, Life TV, LA2, NCI) et mise à disposition des replays / highlights.</w:t>
      </w:r>
    </w:p>
    <w:p>
      <w:pPr>
        <w:pStyle w:val="Heading1"/>
        <w:spacing w:after="160" w:before="360"/>
      </w:pPr>
      <w:r>
        <w:rPr>
          <w:b/>
          <w:bCs/>
          <w:color w:val="1F2A44"/>
        </w:rPr>
        <w:t xml:space="preserve">9. Modèle de Données et Reporting Financier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9.1 Entités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Écoles : </w:t>
      </w:r>
      <w:r>
        <w:t xml:space="preserve">ID, statut de paiement (booléen), logo, historique de points, configuration maillots, professeurs référents.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Étudiants : </w:t>
      </w:r>
      <w:r>
        <w:t xml:space="preserve">ID, école, genre (contrôle Handball filles), performances individuelles (Gymnastique, Art, Intellectuel), statut bourse d'études.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Équipes : </w:t>
      </w:r>
      <w:r>
        <w:t xml:space="preserve">discipline, composition (11 pour le Football, 5 pour le Basketball, 5 filles pour le Handball, 4 pour l'Intellectuel), statut de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Commandes Maillots : </w:t>
      </w:r>
      <w:r>
        <w:t xml:space="preserve">école, configuration (couleurs, logo, liste joueurs : nom / numéro / taille), statut de production et de livraison.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Finances : </w:t>
      </w:r>
      <w:r>
        <w:t xml:space="preserve">ID transaction, source (inscription 150 000 FCFA / palier de sponsoring / billetterie), montant, mode de paiement.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Récompenses : </w:t>
      </w:r>
      <w:r>
        <w:t xml:space="preserve">discipline, dotation, lauréats, bourses attribuées, récompenses surprises des partenaires.</w:t>
      </w:r>
    </w:p>
    <w:p>
      <w:pPr>
        <w:pStyle w:val="Heading2"/>
        <w:spacing w:after="120" w:before="260"/>
      </w:pPr>
      <w:r>
        <w:rPr>
          <w:b/>
          <w:bCs/>
          <w:color w:val="B8860B"/>
        </w:rPr>
        <w:t xml:space="preserve">9.2 Dashboard Central (Reporting Direction)</w:t>
      </w:r>
    </w:p>
    <w:p>
      <w:pPr>
        <w:spacing w:after="120"/>
      </w:pPr>
      <w:r>
        <w:t xml:space="preserve">Le système </w:t>
      </w:r>
      <w:r>
        <w:rPr>
          <w:b/>
          <w:bCs/>
        </w:rPr>
        <w:t xml:space="preserve">doit générer</w:t>
      </w:r>
      <w:r>
        <w:t xml:space="preserve"> un tableau de bord analytique incluant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Suivi des inscriptions : </w:t>
      </w:r>
      <w:r>
        <w:t xml:space="preserve">réel vs objectif, avec projection des recettes (10 écoles = 1 500 000 FCFA ; 20 = 3 000 000 FCFA ; 30 = 4 500 000 FCFA).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Calcul de marge : </w:t>
      </w:r>
      <w:r>
        <w:t xml:space="preserve">comparaison en temps réel des recettes (inscriptions + sponsoring + billetterie) aux dépenses saisies, y compris le poste dotations (1 300 000 FCFA) et le coût de production des tenues, pour visualiser la « Marge Estimée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Analytics partenaires : </w:t>
      </w:r>
      <w:r>
        <w:t xml:space="preserve">nombre de vues par logo, clics sur les fiches universités, leads générés (formulaires de contact) et bourses attribuées — données destinées au bilan chiffré partagé avec les partenaires.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Suivi production maillots : </w:t>
      </w:r>
      <w:r>
        <w:t xml:space="preserve">état des commandes par établissement pour garantir la livraison avant les premières compétitions.</w:t>
      </w:r>
    </w:p>
    <w:p>
      <w:pPr>
        <w:spacing w:before="400"/>
        <w:jc w:val="center"/>
      </w:pPr>
      <w:r>
        <w:rPr>
          <w:i/>
          <w:iCs/>
          <w:color w:val="555555"/>
          <w:sz w:val="18"/>
          <w:szCs w:val="18"/>
        </w:rPr>
        <w:t xml:space="preserve">OLYMPUS ELITES · Cahier des Charges — Plateforme Web · Aligné Stratégie Complète v4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2026-07-22T20:17:41.109Z</dcterms:created>
  <dcterms:modified xsi:type="dcterms:W3CDTF">2026-07-22T20:17:41.126Z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