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036B5CD" wp14:paraId="2C078E63" wp14:textId="122D647D">
      <w:pPr>
        <w:rPr>
          <w:sz w:val="36"/>
          <w:szCs w:val="36"/>
        </w:rPr>
      </w:pPr>
      <w:r w:rsidRPr="0036B5CD" w:rsidR="0F6DEE41">
        <w:rPr>
          <w:sz w:val="36"/>
          <w:szCs w:val="36"/>
        </w:rPr>
        <w:t>4. Summary of Trends + My Design</w:t>
      </w:r>
    </w:p>
    <w:p w:rsidR="0F6DEE41" w:rsidP="0036B5CD" w:rsidRDefault="0F6DEE41" w14:paraId="655162D1" w14:textId="3FF494F8">
      <w:pPr>
        <w:pStyle w:val="Normal"/>
        <w:ind w:left="0"/>
        <w:rPr>
          <w:sz w:val="24"/>
          <w:szCs w:val="24"/>
        </w:rPr>
      </w:pPr>
      <w:r w:rsidRPr="0036B5CD" w:rsidR="0F6DEE41">
        <w:rPr>
          <w:sz w:val="24"/>
          <w:szCs w:val="24"/>
        </w:rPr>
        <w:t xml:space="preserve">Several trends were </w:t>
      </w:r>
      <w:r w:rsidRPr="0036B5CD" w:rsidR="0F6DEE41">
        <w:rPr>
          <w:sz w:val="24"/>
          <w:szCs w:val="24"/>
        </w:rPr>
        <w:t>apparent</w:t>
      </w:r>
      <w:r w:rsidRPr="0036B5CD" w:rsidR="0F6DEE41">
        <w:rPr>
          <w:sz w:val="24"/>
          <w:szCs w:val="24"/>
        </w:rPr>
        <w:t xml:space="preserve"> in the </w:t>
      </w:r>
      <w:r w:rsidRPr="0036B5CD" w:rsidR="1D1FC4CE">
        <w:rPr>
          <w:sz w:val="24"/>
          <w:szCs w:val="24"/>
        </w:rPr>
        <w:t>architecture</w:t>
      </w:r>
      <w:r w:rsidRPr="0036B5CD" w:rsidR="0F6DEE41">
        <w:rPr>
          <w:sz w:val="24"/>
          <w:szCs w:val="24"/>
        </w:rPr>
        <w:t xml:space="preserve"> of the top 10 best performing supercomputers. </w:t>
      </w:r>
      <w:r w:rsidRPr="0036B5CD" w:rsidR="303F7996">
        <w:rPr>
          <w:sz w:val="24"/>
          <w:szCs w:val="24"/>
        </w:rPr>
        <w:t xml:space="preserve">The performance of the first three supercomputers is significantly greater than the other seven. </w:t>
      </w:r>
      <w:r w:rsidRPr="0036B5CD" w:rsidR="0F6DEE41">
        <w:rPr>
          <w:sz w:val="24"/>
          <w:szCs w:val="24"/>
        </w:rPr>
        <w:t xml:space="preserve">First, different CPU/GPU combinations were prevalent for the nodes of each </w:t>
      </w:r>
      <w:r w:rsidRPr="0036B5CD" w:rsidR="6DB3B4C6">
        <w:rPr>
          <w:sz w:val="24"/>
          <w:szCs w:val="24"/>
        </w:rPr>
        <w:t>supercomputer. El Capitan and Tuolumne, first and tenth, both used AMD MI300A, and accelerator unit combined AMD CPU and GPU</w:t>
      </w:r>
      <w:r w:rsidRPr="0036B5CD" w:rsidR="4B9DAD0B">
        <w:rPr>
          <w:sz w:val="24"/>
          <w:szCs w:val="24"/>
        </w:rPr>
        <w:t xml:space="preserve">s. </w:t>
      </w:r>
      <w:r w:rsidRPr="0036B5CD" w:rsidR="27FDEDBE">
        <w:rPr>
          <w:sz w:val="24"/>
          <w:szCs w:val="24"/>
        </w:rPr>
        <w:t xml:space="preserve">Each node of El Capitan has 4 of these accelerator units. </w:t>
      </w:r>
    </w:p>
    <w:p w:rsidR="605E02A0" w:rsidP="0036B5CD" w:rsidRDefault="605E02A0" w14:paraId="2C76AFD5" w14:textId="362220DD">
      <w:pPr>
        <w:pStyle w:val="Normal"/>
        <w:ind w:left="0"/>
      </w:pPr>
      <w:r w:rsidR="605E02A0">
        <w:drawing>
          <wp:inline wp14:editId="4B19A11F" wp14:anchorId="3454AD38">
            <wp:extent cx="3201034" cy="2939314"/>
            <wp:effectExtent l="0" t="0" r="0" b="0"/>
            <wp:docPr id="233048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c57238451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4" cy="29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5E02A0" w:rsidP="0036B5CD" w:rsidRDefault="605E02A0" w14:paraId="6CEDD5B9" w14:textId="6E8338C1">
      <w:pPr>
        <w:pStyle w:val="Normal"/>
        <w:ind w:left="0"/>
      </w:pPr>
      <w:r w:rsidR="605E02A0">
        <w:rPr/>
        <w:t>Fig: El Capitan’s node configuration for 4 MI300A’s.</w:t>
      </w:r>
    </w:p>
    <w:p w:rsidR="27FDEDBE" w:rsidP="0036B5CD" w:rsidRDefault="27FDEDBE" w14:paraId="70275A52" w14:textId="07E5593E">
      <w:pPr>
        <w:pStyle w:val="Normal"/>
        <w:ind w:left="0"/>
      </w:pPr>
      <w:r w:rsidRPr="12315A41" w:rsidR="27FDEDBE">
        <w:rPr>
          <w:sz w:val="24"/>
          <w:szCs w:val="24"/>
        </w:rPr>
        <w:t>T</w:t>
      </w:r>
      <w:r w:rsidRPr="12315A41" w:rsidR="4B9DAD0B">
        <w:rPr>
          <w:sz w:val="24"/>
          <w:szCs w:val="24"/>
        </w:rPr>
        <w:t>he</w:t>
      </w:r>
      <w:r w:rsidRPr="12315A41" w:rsidR="147F3FD4">
        <w:rPr>
          <w:sz w:val="24"/>
          <w:szCs w:val="24"/>
        </w:rPr>
        <w:t>ir</w:t>
      </w:r>
      <w:r w:rsidRPr="12315A41" w:rsidR="4B9DAD0B">
        <w:rPr>
          <w:sz w:val="24"/>
          <w:szCs w:val="24"/>
        </w:rPr>
        <w:t xml:space="preserve"> CP</w:t>
      </w:r>
      <w:r w:rsidRPr="12315A41" w:rsidR="36D61AEA">
        <w:rPr>
          <w:sz w:val="24"/>
          <w:szCs w:val="24"/>
        </w:rPr>
        <w:t>U is an</w:t>
      </w:r>
      <w:r w:rsidRPr="12315A41" w:rsidR="1C031E4B">
        <w:rPr>
          <w:sz w:val="24"/>
          <w:szCs w:val="24"/>
        </w:rPr>
        <w:t xml:space="preserve"> A</w:t>
      </w:r>
      <w:r w:rsidRPr="12315A41" w:rsidR="36D61AEA">
        <w:rPr>
          <w:sz w:val="24"/>
          <w:szCs w:val="24"/>
        </w:rPr>
        <w:t xml:space="preserve">MD Zen 4 EPYC Architecture, with </w:t>
      </w:r>
      <w:r w:rsidRPr="12315A41" w:rsidR="2AC023B6">
        <w:rPr>
          <w:sz w:val="24"/>
          <w:szCs w:val="24"/>
        </w:rPr>
        <w:t xml:space="preserve">3 </w:t>
      </w:r>
      <w:r w:rsidRPr="12315A41" w:rsidR="2AC023B6">
        <w:rPr>
          <w:sz w:val="24"/>
          <w:szCs w:val="24"/>
        </w:rPr>
        <w:t>chiplets</w:t>
      </w:r>
      <w:r w:rsidRPr="12315A41" w:rsidR="2AC023B6">
        <w:rPr>
          <w:sz w:val="24"/>
          <w:szCs w:val="24"/>
        </w:rPr>
        <w:t xml:space="preserve"> each with 8</w:t>
      </w:r>
      <w:r w:rsidRPr="12315A41" w:rsidR="36D61AEA">
        <w:rPr>
          <w:sz w:val="24"/>
          <w:szCs w:val="24"/>
        </w:rPr>
        <w:t xml:space="preserve"> cores, and this </w:t>
      </w:r>
      <w:r w:rsidRPr="12315A41" w:rsidR="5E1381E3">
        <w:rPr>
          <w:sz w:val="24"/>
          <w:szCs w:val="24"/>
        </w:rPr>
        <w:t xml:space="preserve">die </w:t>
      </w:r>
      <w:r w:rsidRPr="12315A41" w:rsidR="0EAC81C8">
        <w:rPr>
          <w:sz w:val="24"/>
          <w:szCs w:val="24"/>
        </w:rPr>
        <w:t>architecture:</w:t>
      </w:r>
    </w:p>
    <w:p w:rsidR="6D49A930" w:rsidP="0036B5CD" w:rsidRDefault="6D49A930" w14:paraId="7F99CAE5" w14:textId="79DD1642">
      <w:pPr>
        <w:pStyle w:val="Normal"/>
        <w:ind w:left="0"/>
      </w:pPr>
      <w:r w:rsidR="6D49A930">
        <w:drawing>
          <wp:inline wp14:editId="7DD3EF8D" wp14:anchorId="5DDE8FC4">
            <wp:extent cx="4296490" cy="2052054"/>
            <wp:effectExtent l="0" t="0" r="0" b="0"/>
            <wp:docPr id="1787081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77204fd6c4b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90" cy="205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917F2" w:rsidP="0036B5CD" w:rsidRDefault="3D2917F2" w14:paraId="636BC1BD" w14:textId="672BEEC0">
      <w:pPr>
        <w:pStyle w:val="Normal"/>
        <w:ind w:left="0"/>
      </w:pPr>
      <w:r w:rsidR="3D2917F2">
        <w:rPr/>
        <w:t xml:space="preserve">L1 cache is not pictured, but is 64KB per core, split evenly for instruction and data. </w:t>
      </w:r>
      <w:r w:rsidR="48505659">
        <w:rPr/>
        <w:t xml:space="preserve">Each L2 cache is </w:t>
      </w:r>
      <w:r w:rsidR="45F18FDF">
        <w:rPr/>
        <w:t>1MB and the 32 MB L3 cache is shared between all cores.</w:t>
      </w:r>
    </w:p>
    <w:p w:rsidR="69D30F45" w:rsidP="0036B5CD" w:rsidRDefault="69D30F45" w14:paraId="61E554A6" w14:textId="099BC60B">
      <w:pPr>
        <w:pStyle w:val="Normal"/>
        <w:rPr>
          <w:sz w:val="24"/>
          <w:szCs w:val="24"/>
        </w:rPr>
      </w:pPr>
      <w:r w:rsidRPr="0036B5CD" w:rsidR="69D30F45">
        <w:rPr>
          <w:sz w:val="24"/>
          <w:szCs w:val="24"/>
        </w:rPr>
        <w:t xml:space="preserve">Though this architecture is </w:t>
      </w:r>
      <w:r w:rsidRPr="0036B5CD" w:rsidR="69D30F45">
        <w:rPr>
          <w:sz w:val="24"/>
          <w:szCs w:val="24"/>
        </w:rPr>
        <w:t>utilized</w:t>
      </w:r>
      <w:r w:rsidRPr="0036B5CD" w:rsidR="69D30F45">
        <w:rPr>
          <w:sz w:val="24"/>
          <w:szCs w:val="24"/>
        </w:rPr>
        <w:t xml:space="preserve"> by number 1, El Capitan, there ar</w:t>
      </w:r>
      <w:r w:rsidRPr="0036B5CD" w:rsidR="70D0098F">
        <w:rPr>
          <w:sz w:val="24"/>
          <w:szCs w:val="24"/>
        </w:rPr>
        <w:t>e others in the top ten with more frequency.</w:t>
      </w:r>
    </w:p>
    <w:p w:rsidR="1567083F" w:rsidP="0036B5CD" w:rsidRDefault="1567083F" w14:paraId="42F3A05C" w14:textId="27CA8D68">
      <w:pPr>
        <w:pStyle w:val="Normal"/>
        <w:rPr>
          <w:sz w:val="24"/>
          <w:szCs w:val="24"/>
        </w:rPr>
      </w:pPr>
      <w:r w:rsidRPr="0036B5CD" w:rsidR="1567083F">
        <w:rPr>
          <w:sz w:val="24"/>
          <w:szCs w:val="24"/>
        </w:rPr>
        <w:t xml:space="preserve">Specifically, the Frontier, HPCG, and Lumi use </w:t>
      </w:r>
      <w:r w:rsidRPr="0036B5CD" w:rsidR="1567083F">
        <w:rPr>
          <w:b w:val="1"/>
          <w:bCs w:val="1"/>
          <w:sz w:val="24"/>
          <w:szCs w:val="24"/>
        </w:rPr>
        <w:t>AMD Instinct MI250x</w:t>
      </w:r>
      <w:r w:rsidRPr="0036B5CD" w:rsidR="1567083F">
        <w:rPr>
          <w:sz w:val="24"/>
          <w:szCs w:val="24"/>
        </w:rPr>
        <w:t xml:space="preserve">, which is </w:t>
      </w:r>
      <w:r w:rsidRPr="0036B5CD" w:rsidR="63D489FA">
        <w:rPr>
          <w:sz w:val="24"/>
          <w:szCs w:val="24"/>
        </w:rPr>
        <w:t>a GPU rather than a</w:t>
      </w:r>
      <w:r w:rsidRPr="0036B5CD" w:rsidR="72C74A46">
        <w:rPr>
          <w:sz w:val="24"/>
          <w:szCs w:val="24"/>
        </w:rPr>
        <w:t>n</w:t>
      </w:r>
      <w:r w:rsidRPr="0036B5CD" w:rsidR="63D489FA">
        <w:rPr>
          <w:sz w:val="24"/>
          <w:szCs w:val="24"/>
        </w:rPr>
        <w:t xml:space="preserve"> AU that combines GPU/CPU. I believe the MI250x is better for performance than Nvidia’s H100</w:t>
      </w:r>
      <w:r w:rsidRPr="0036B5CD" w:rsidR="127A58EA">
        <w:rPr>
          <w:sz w:val="24"/>
          <w:szCs w:val="24"/>
        </w:rPr>
        <w:t xml:space="preserve"> as well</w:t>
      </w:r>
      <w:r w:rsidRPr="0036B5CD" w:rsidR="63D489FA">
        <w:rPr>
          <w:sz w:val="24"/>
          <w:szCs w:val="24"/>
        </w:rPr>
        <w:t xml:space="preserve">, which is featured </w:t>
      </w:r>
      <w:r w:rsidRPr="0036B5CD" w:rsidR="043F1A1A">
        <w:rPr>
          <w:sz w:val="24"/>
          <w:szCs w:val="24"/>
        </w:rPr>
        <w:t xml:space="preserve">in the Eagle. To compare performance, the MI250x offers 128 GB </w:t>
      </w:r>
      <w:r w:rsidRPr="0036B5CD" w:rsidR="17E6080F">
        <w:rPr>
          <w:sz w:val="24"/>
          <w:szCs w:val="24"/>
        </w:rPr>
        <w:t xml:space="preserve">of </w:t>
      </w:r>
      <w:r w:rsidRPr="0036B5CD" w:rsidR="4EB40BA9">
        <w:rPr>
          <w:sz w:val="24"/>
          <w:szCs w:val="24"/>
        </w:rPr>
        <w:t xml:space="preserve">high </w:t>
      </w:r>
      <w:r w:rsidRPr="0036B5CD" w:rsidR="17E6080F">
        <w:rPr>
          <w:sz w:val="24"/>
          <w:szCs w:val="24"/>
        </w:rPr>
        <w:t>memory</w:t>
      </w:r>
      <w:r w:rsidRPr="0036B5CD" w:rsidR="0FF76408">
        <w:rPr>
          <w:sz w:val="24"/>
          <w:szCs w:val="24"/>
        </w:rPr>
        <w:t xml:space="preserve"> bandwidth (HBM2)</w:t>
      </w:r>
      <w:r w:rsidRPr="0036B5CD" w:rsidR="17E6080F">
        <w:rPr>
          <w:sz w:val="24"/>
          <w:szCs w:val="24"/>
        </w:rPr>
        <w:t xml:space="preserve">, and has a FP64 performance of 95.7 TFLOPS compared to the H100’s </w:t>
      </w:r>
      <w:r w:rsidRPr="0036B5CD" w:rsidR="68FA189C">
        <w:rPr>
          <w:sz w:val="24"/>
          <w:szCs w:val="24"/>
        </w:rPr>
        <w:t xml:space="preserve">94 GB and 34 TFLOPS. </w:t>
      </w:r>
      <w:r w:rsidRPr="0036B5CD" w:rsidR="4C3C9D89">
        <w:rPr>
          <w:sz w:val="24"/>
          <w:szCs w:val="24"/>
        </w:rPr>
        <w:t xml:space="preserve">HBM2 </w:t>
      </w:r>
    </w:p>
    <w:p w:rsidR="68FA189C" w:rsidP="0036B5CD" w:rsidRDefault="68FA189C" w14:paraId="5EC10AF0" w14:textId="00E4F84D">
      <w:pPr>
        <w:pStyle w:val="Normal"/>
        <w:rPr>
          <w:sz w:val="24"/>
          <w:szCs w:val="24"/>
        </w:rPr>
      </w:pPr>
      <w:r w:rsidRPr="12315A41" w:rsidR="68FA189C">
        <w:rPr>
          <w:sz w:val="24"/>
          <w:szCs w:val="24"/>
        </w:rPr>
        <w:t xml:space="preserve">The </w:t>
      </w:r>
      <w:r w:rsidRPr="12315A41" w:rsidR="68FA189C">
        <w:rPr>
          <w:sz w:val="24"/>
          <w:szCs w:val="24"/>
        </w:rPr>
        <w:t>Froniter</w:t>
      </w:r>
      <w:r w:rsidRPr="12315A41" w:rsidR="68FA189C">
        <w:rPr>
          <w:sz w:val="24"/>
          <w:szCs w:val="24"/>
        </w:rPr>
        <w:t xml:space="preserve">, HPCG, and Lumi, all implement </w:t>
      </w:r>
      <w:r w:rsidRPr="12315A41" w:rsidR="68FA189C">
        <w:rPr>
          <w:b w:val="0"/>
          <w:bCs w:val="0"/>
          <w:sz w:val="24"/>
          <w:szCs w:val="24"/>
        </w:rPr>
        <w:t>AMD’s 3</w:t>
      </w:r>
      <w:r w:rsidRPr="12315A41" w:rsidR="68FA189C">
        <w:rPr>
          <w:b w:val="0"/>
          <w:bCs w:val="0"/>
          <w:sz w:val="24"/>
          <w:szCs w:val="24"/>
          <w:vertAlign w:val="superscript"/>
        </w:rPr>
        <w:t>rd</w:t>
      </w:r>
      <w:r w:rsidRPr="12315A41" w:rsidR="68FA189C">
        <w:rPr>
          <w:b w:val="0"/>
          <w:bCs w:val="0"/>
          <w:sz w:val="24"/>
          <w:szCs w:val="24"/>
        </w:rPr>
        <w:t xml:space="preserve"> Gen EPYC 64C 2 GHz CPU</w:t>
      </w:r>
      <w:r w:rsidRPr="12315A41" w:rsidR="68FA189C">
        <w:rPr>
          <w:sz w:val="24"/>
          <w:szCs w:val="24"/>
        </w:rPr>
        <w:t xml:space="preserve"> to combine with the MI250x GPU. This, in a broader sense, is a pattern between most of the top ten, as most use </w:t>
      </w:r>
      <w:r w:rsidRPr="12315A41" w:rsidR="62491E1D">
        <w:rPr>
          <w:sz w:val="24"/>
          <w:szCs w:val="24"/>
        </w:rPr>
        <w:t xml:space="preserve">CPUs and GPUs from the same HPC company, as their custom architectures are tailored to their own products. </w:t>
      </w:r>
      <w:r w:rsidRPr="12315A41" w:rsidR="02041067">
        <w:rPr>
          <w:sz w:val="24"/>
          <w:szCs w:val="24"/>
        </w:rPr>
        <w:t xml:space="preserve">The </w:t>
      </w:r>
      <w:r w:rsidRPr="12315A41" w:rsidR="02041067">
        <w:rPr>
          <w:sz w:val="24"/>
          <w:szCs w:val="24"/>
        </w:rPr>
        <w:t>combination of</w:t>
      </w:r>
      <w:r w:rsidRPr="12315A41" w:rsidR="02041067">
        <w:rPr>
          <w:sz w:val="24"/>
          <w:szCs w:val="24"/>
        </w:rPr>
        <w:t xml:space="preserve"> this CPU and GPU is enhanced by AMD’s infinity fabric interconnect, which makes it </w:t>
      </w:r>
      <w:r w:rsidRPr="12315A41" w:rsidR="02041067">
        <w:rPr>
          <w:sz w:val="24"/>
          <w:szCs w:val="24"/>
        </w:rPr>
        <w:t>advantageous</w:t>
      </w:r>
      <w:r w:rsidRPr="12315A41" w:rsidR="02041067">
        <w:rPr>
          <w:sz w:val="24"/>
          <w:szCs w:val="24"/>
        </w:rPr>
        <w:t xml:space="preserve"> for HPC applications. </w:t>
      </w:r>
    </w:p>
    <w:p w:rsidR="62491E1D" w:rsidP="0036B5CD" w:rsidRDefault="62491E1D" w14:paraId="236F5BD5" w14:textId="6BCA81FC">
      <w:pPr>
        <w:pStyle w:val="Normal"/>
        <w:rPr>
          <w:sz w:val="24"/>
          <w:szCs w:val="24"/>
        </w:rPr>
      </w:pPr>
      <w:r w:rsidRPr="0036B5CD" w:rsidR="62491E1D">
        <w:rPr>
          <w:sz w:val="24"/>
          <w:szCs w:val="24"/>
        </w:rPr>
        <w:t>AMD’s 3</w:t>
      </w:r>
      <w:r w:rsidRPr="0036B5CD" w:rsidR="62491E1D">
        <w:rPr>
          <w:sz w:val="24"/>
          <w:szCs w:val="24"/>
          <w:vertAlign w:val="superscript"/>
        </w:rPr>
        <w:t>rd</w:t>
      </w:r>
      <w:r w:rsidRPr="0036B5CD" w:rsidR="62491E1D">
        <w:rPr>
          <w:sz w:val="24"/>
          <w:szCs w:val="24"/>
        </w:rPr>
        <w:t xml:space="preserve"> Gen EPYC 64C 2 GHz CPU</w:t>
      </w:r>
      <w:r w:rsidRPr="0036B5CD" w:rsidR="7827AB26">
        <w:rPr>
          <w:sz w:val="24"/>
          <w:szCs w:val="24"/>
        </w:rPr>
        <w:t xml:space="preserve">, with 64 cores, and 2 threads per core, is </w:t>
      </w:r>
      <w:r w:rsidRPr="0036B5CD" w:rsidR="7827AB26">
        <w:rPr>
          <w:sz w:val="24"/>
          <w:szCs w:val="24"/>
        </w:rPr>
        <w:t>optimized</w:t>
      </w:r>
      <w:r w:rsidRPr="0036B5CD" w:rsidR="7827AB26">
        <w:rPr>
          <w:sz w:val="24"/>
          <w:szCs w:val="24"/>
        </w:rPr>
        <w:t xml:space="preserve"> for multi-threading involving massive parallel workloads. </w:t>
      </w:r>
      <w:r w:rsidRPr="0036B5CD" w:rsidR="76B078FA">
        <w:rPr>
          <w:sz w:val="24"/>
          <w:szCs w:val="24"/>
        </w:rPr>
        <w:t xml:space="preserve">It supports DDR memory, improves bandwidth as DDR4 handles 8 memory channels per processor. </w:t>
      </w:r>
      <w:r w:rsidRPr="0036B5CD" w:rsidR="751C9698">
        <w:rPr>
          <w:sz w:val="24"/>
          <w:szCs w:val="24"/>
        </w:rPr>
        <w:t xml:space="preserve">These memory modules can support up to 4TB of memory, which is </w:t>
      </w:r>
      <w:r w:rsidRPr="0036B5CD" w:rsidR="751C9698">
        <w:rPr>
          <w:sz w:val="24"/>
          <w:szCs w:val="24"/>
        </w:rPr>
        <w:t>optimal</w:t>
      </w:r>
      <w:r w:rsidRPr="0036B5CD" w:rsidR="751C9698">
        <w:rPr>
          <w:sz w:val="24"/>
          <w:szCs w:val="24"/>
        </w:rPr>
        <w:t xml:space="preserve"> for workloads requiring lots of memory. </w:t>
      </w:r>
    </w:p>
    <w:p w:rsidR="364EF0E8" w:rsidP="0036B5CD" w:rsidRDefault="364EF0E8" w14:paraId="5DA1B6D5" w14:textId="58513B36">
      <w:pPr>
        <w:pStyle w:val="Normal"/>
        <w:rPr>
          <w:sz w:val="24"/>
          <w:szCs w:val="24"/>
        </w:rPr>
      </w:pPr>
      <w:r w:rsidRPr="0036B5CD" w:rsidR="364EF0E8">
        <w:rPr>
          <w:sz w:val="24"/>
          <w:szCs w:val="24"/>
        </w:rPr>
        <w:t>Its</w:t>
      </w:r>
      <w:r w:rsidRPr="0036B5CD" w:rsidR="22104893">
        <w:rPr>
          <w:sz w:val="24"/>
          <w:szCs w:val="24"/>
        </w:rPr>
        <w:t xml:space="preserve"> top</w:t>
      </w:r>
      <w:r w:rsidRPr="0036B5CD" w:rsidR="364EF0E8">
        <w:rPr>
          <w:sz w:val="24"/>
          <w:szCs w:val="24"/>
        </w:rPr>
        <w:t xml:space="preserve"> comparisons on the list include Aurora’s Intel Xeon CPU Max 9470 with 52 cores, </w:t>
      </w:r>
      <w:r w:rsidRPr="0036B5CD" w:rsidR="25129FB7">
        <w:rPr>
          <w:sz w:val="24"/>
          <w:szCs w:val="24"/>
        </w:rPr>
        <w:t>which is less than AMD’s 64 for parallel processing. This</w:t>
      </w:r>
      <w:r w:rsidRPr="0036B5CD" w:rsidR="25129FB7">
        <w:rPr>
          <w:sz w:val="24"/>
          <w:szCs w:val="24"/>
        </w:rPr>
        <w:t xml:space="preserve"> is </w:t>
      </w:r>
      <w:r w:rsidRPr="0036B5CD" w:rsidR="53B9B3EC">
        <w:rPr>
          <w:sz w:val="24"/>
          <w:szCs w:val="24"/>
        </w:rPr>
        <w:t>like</w:t>
      </w:r>
      <w:r w:rsidRPr="0036B5CD" w:rsidR="25129FB7">
        <w:rPr>
          <w:sz w:val="24"/>
          <w:szCs w:val="24"/>
        </w:rPr>
        <w:t xml:space="preserve"> the Eagle with 48 cores on an Intel Xeon Platinum 8480C. </w:t>
      </w:r>
    </w:p>
    <w:p w:rsidR="35496990" w:rsidP="0036B5CD" w:rsidRDefault="35496990" w14:paraId="2E25B988" w14:textId="0FD758AA">
      <w:pPr>
        <w:pStyle w:val="Normal"/>
        <w:rPr>
          <w:sz w:val="24"/>
          <w:szCs w:val="24"/>
        </w:rPr>
      </w:pPr>
      <w:r w:rsidRPr="12315A41" w:rsidR="35496990">
        <w:rPr>
          <w:sz w:val="24"/>
          <w:szCs w:val="24"/>
        </w:rPr>
        <w:t>For interconnect, the majority of the top 10 use Slingshot-11</w:t>
      </w:r>
      <w:r w:rsidRPr="12315A41" w:rsidR="3EBBF831">
        <w:rPr>
          <w:sz w:val="24"/>
          <w:szCs w:val="24"/>
        </w:rPr>
        <w:t xml:space="preserve"> for high-speed data transfer</w:t>
      </w:r>
      <w:r w:rsidRPr="12315A41" w:rsidR="35496990">
        <w:rPr>
          <w:sz w:val="24"/>
          <w:szCs w:val="24"/>
        </w:rPr>
        <w:t>.</w:t>
      </w:r>
      <w:r w:rsidRPr="12315A41" w:rsidR="35496990">
        <w:rPr>
          <w:sz w:val="24"/>
          <w:szCs w:val="24"/>
        </w:rPr>
        <w:t xml:space="preserve"> </w:t>
      </w:r>
      <w:r w:rsidRPr="12315A41" w:rsidR="75FF2DAC">
        <w:rPr>
          <w:sz w:val="24"/>
          <w:szCs w:val="24"/>
        </w:rPr>
        <w:t xml:space="preserve">The different network topologies included in the list are, first, the dragonfly topology, where groups serve as sets of nodes, which are connected by links. This minimizes </w:t>
      </w:r>
      <w:r w:rsidRPr="12315A41" w:rsidR="0D19F662">
        <w:rPr>
          <w:sz w:val="24"/>
          <w:szCs w:val="24"/>
        </w:rPr>
        <w:t xml:space="preserve">communication steps between two nodes. </w:t>
      </w:r>
      <w:r w:rsidRPr="12315A41" w:rsidR="12650FB5">
        <w:rPr>
          <w:sz w:val="24"/>
          <w:szCs w:val="24"/>
        </w:rPr>
        <w:t>My architecture is shown below:</w:t>
      </w:r>
    </w:p>
    <w:p w:rsidR="5022B00E" w:rsidP="12315A41" w:rsidRDefault="5022B00E" w14:paraId="4AEC2F6A" w14:textId="4B315FB7">
      <w:pPr>
        <w:pStyle w:val="Normal"/>
      </w:pPr>
      <w:r w:rsidR="5022B00E">
        <w:drawing>
          <wp:inline wp14:editId="3460A6D0" wp14:anchorId="40D04CDC">
            <wp:extent cx="4114800" cy="5943600"/>
            <wp:effectExtent l="0" t="0" r="0" b="0"/>
            <wp:docPr id="636671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5e7fd22a4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2B00E" w:rsidP="12315A41" w:rsidRDefault="5022B00E" w14:paraId="2AE03E66" w14:textId="0EB4883E">
      <w:pPr>
        <w:pStyle w:val="Normal"/>
      </w:pPr>
      <w:r w:rsidR="5022B00E">
        <w:drawing>
          <wp:inline wp14:editId="0E763768" wp14:anchorId="30EE0EAF">
            <wp:extent cx="5943600" cy="4962526"/>
            <wp:effectExtent l="0" t="0" r="0" b="0"/>
            <wp:docPr id="438563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431481d7ca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37d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58227"/>
    <w:rsid w:val="0036B5CD"/>
    <w:rsid w:val="02041067"/>
    <w:rsid w:val="043F1A1A"/>
    <w:rsid w:val="0BEAAE2F"/>
    <w:rsid w:val="0D19F662"/>
    <w:rsid w:val="0EAC81C8"/>
    <w:rsid w:val="0F4E605A"/>
    <w:rsid w:val="0F6DEE41"/>
    <w:rsid w:val="0FF76408"/>
    <w:rsid w:val="12315A41"/>
    <w:rsid w:val="12650FB5"/>
    <w:rsid w:val="1265E854"/>
    <w:rsid w:val="127A58EA"/>
    <w:rsid w:val="147F3FD4"/>
    <w:rsid w:val="1567083F"/>
    <w:rsid w:val="16AF7C9E"/>
    <w:rsid w:val="17E6080F"/>
    <w:rsid w:val="188BCDA9"/>
    <w:rsid w:val="18EC5E79"/>
    <w:rsid w:val="1BEB4E12"/>
    <w:rsid w:val="1C031E4B"/>
    <w:rsid w:val="1D1FC4CE"/>
    <w:rsid w:val="1F07A046"/>
    <w:rsid w:val="1F0A14DB"/>
    <w:rsid w:val="1FBA6C8E"/>
    <w:rsid w:val="21E6139B"/>
    <w:rsid w:val="22104893"/>
    <w:rsid w:val="25129FB7"/>
    <w:rsid w:val="26149DF5"/>
    <w:rsid w:val="26BA6A76"/>
    <w:rsid w:val="27FDEDBE"/>
    <w:rsid w:val="2A1A54C1"/>
    <w:rsid w:val="2AC023B6"/>
    <w:rsid w:val="2F5927F1"/>
    <w:rsid w:val="303F7996"/>
    <w:rsid w:val="35496990"/>
    <w:rsid w:val="364EF0E8"/>
    <w:rsid w:val="36D61AEA"/>
    <w:rsid w:val="38009D2F"/>
    <w:rsid w:val="39D8748E"/>
    <w:rsid w:val="3A50A3E1"/>
    <w:rsid w:val="3BC20F21"/>
    <w:rsid w:val="3C5454B4"/>
    <w:rsid w:val="3CB60CC3"/>
    <w:rsid w:val="3D2917F2"/>
    <w:rsid w:val="3EBBF831"/>
    <w:rsid w:val="436778AF"/>
    <w:rsid w:val="45CA7E49"/>
    <w:rsid w:val="45F18FDF"/>
    <w:rsid w:val="48505659"/>
    <w:rsid w:val="4B9DAD0B"/>
    <w:rsid w:val="4C3C9D89"/>
    <w:rsid w:val="4D25608A"/>
    <w:rsid w:val="4E387AEE"/>
    <w:rsid w:val="4EB40BA9"/>
    <w:rsid w:val="5022B00E"/>
    <w:rsid w:val="5329914F"/>
    <w:rsid w:val="53B9B3EC"/>
    <w:rsid w:val="54978789"/>
    <w:rsid w:val="54998672"/>
    <w:rsid w:val="551E0C5A"/>
    <w:rsid w:val="568A5C1D"/>
    <w:rsid w:val="57858227"/>
    <w:rsid w:val="59262AF5"/>
    <w:rsid w:val="5C8DD1BC"/>
    <w:rsid w:val="5E1381E3"/>
    <w:rsid w:val="5F2F2A07"/>
    <w:rsid w:val="605E02A0"/>
    <w:rsid w:val="61498BD1"/>
    <w:rsid w:val="61FA2A71"/>
    <w:rsid w:val="62491E1D"/>
    <w:rsid w:val="63D489FA"/>
    <w:rsid w:val="66CA7BFD"/>
    <w:rsid w:val="68FA189C"/>
    <w:rsid w:val="69D30F45"/>
    <w:rsid w:val="6B4AA8B9"/>
    <w:rsid w:val="6B82B6B4"/>
    <w:rsid w:val="6BDEE24D"/>
    <w:rsid w:val="6D49A930"/>
    <w:rsid w:val="6DB3B4C6"/>
    <w:rsid w:val="6DBFEAB0"/>
    <w:rsid w:val="70D0098F"/>
    <w:rsid w:val="7130EFB2"/>
    <w:rsid w:val="72C74A46"/>
    <w:rsid w:val="751C9698"/>
    <w:rsid w:val="754C301C"/>
    <w:rsid w:val="75FCD51C"/>
    <w:rsid w:val="75FF2DAC"/>
    <w:rsid w:val="76B078FA"/>
    <w:rsid w:val="78222134"/>
    <w:rsid w:val="7827AB26"/>
    <w:rsid w:val="7AA0AE53"/>
    <w:rsid w:val="7BECA5D6"/>
    <w:rsid w:val="7D465F8A"/>
    <w:rsid w:val="7DD70C65"/>
    <w:rsid w:val="7EC9CB1F"/>
    <w:rsid w:val="7ED4FDC7"/>
    <w:rsid w:val="7FC43068"/>
    <w:rsid w:val="7FF58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8227"/>
  <w15:chartTrackingRefBased/>
  <w15:docId w15:val="{11829B74-A024-4924-886A-92049C69F9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036B5C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6c5723845147f1" /><Relationship Type="http://schemas.openxmlformats.org/officeDocument/2006/relationships/image" Target="/media/image2.png" Id="Rda077204fd6c4bb7" /><Relationship Type="http://schemas.openxmlformats.org/officeDocument/2006/relationships/numbering" Target="numbering.xml" Id="R9f4cafe5e84e4b16" /><Relationship Type="http://schemas.openxmlformats.org/officeDocument/2006/relationships/image" Target="/media/image3.png" Id="R8e05e7fd22a4486c" /><Relationship Type="http://schemas.openxmlformats.org/officeDocument/2006/relationships/image" Target="/media/image4.png" Id="Rb0431481d7ca45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2025-01-30T03:23:10.6198985Z</dcterms:created>
  <dcterms:modified xsi:type="dcterms:W3CDTF">2025-01-30T17:02:19.8537243Z</dcterms:modified>
  <dc:creator>Ruben Noroian</dc:creator>
  <lastModifiedBy>Ruben Noroian</lastModifiedBy>
</coreProperties>
</file>