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S7_GLOBAL. Species global share of keyword tokens (all periods combined).</w:t>
      </w:r>
    </w:p>
    <w:p>
      <w:pPr>
        <w:pStyle w:val="Normal"/>
      </w:pPr>
      <w:r>
        <w:t xml:space="preserve">Values are each species percentage of all tokens across the entire dataset (Pre + Post combined).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11"/>
        <w:gridCol w:w="2309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TaxonName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total_global_prop</w:t>
            </w:r>
          </w:p>
        </w:tc>
      </w:tr>
      <w:tr>
        <w:trPr>
          <w:trHeight w:val="63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Vespa_velutina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29.05</w:t>
            </w:r>
          </w:p>
        </w:tc>
      </w:tr>
      <w:tr>
        <w:trPr>
          <w:trHeight w:val="63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Phthorimaea_absoluta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15.07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Bemisia_tabaci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11.76</w:t>
            </w:r>
          </w:p>
        </w:tc>
      </w:tr>
      <w:tr>
        <w:trPr>
          <w:trHeight w:val="63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Psittacus_erithacus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9.30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Graptemys_pseudogeographica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63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Cherax_quadricarinatus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Ceratitis_capitata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</w:tr>
      <w:tr>
        <w:trPr>
          <w:trHeight w:val="63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Rugulopteryx_okamurae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Varanus_exanthematicus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</w:tr>
      <w:tr>
        <w:trPr>
          <w:trHeight w:val="63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Mauremys_reevesii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Zebrasoma_flavescens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</w:tr>
      <w:tr>
        <w:trPr>
          <w:trHeight w:val="63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Perca_fluviatilis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Apalone_ferox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63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Primolius_maracana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3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Pseudemys_concinna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3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Platycerium_bifurcatum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3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Psephotus_haematonotus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3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Vespa_orientalis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3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Halyomorpha_halys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3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Synoicus_chinensis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3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3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Paratrechina_jaegerskioeldi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3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Scyphophorus_acupunctatus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3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Agapornis_nigrigenis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Aratinga_jandaya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Phytophthora_citricola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Spodoptera_frugiperda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Glycaspis_brimblecombei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3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Wasmannia_auropunctata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3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Xylella_fastidiosa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3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Agapornis_fischeri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3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Cydalima_perspectalis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3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Aedes_aegypti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3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Tobamovirus_fructirugosum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3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Pionites_melanocephalus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3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Pomacea_maculata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3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Pseudemys_peninsularis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3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Anser_cygnoides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3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Pelodiscus_sinensis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3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Amazona_amazonica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Belonochilus_numenius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Diadema_antillarum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Grus_canadensis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Lonchura_oryzivora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Balistoides_conspicillum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Branta_canadensis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Caloenas_nicobarica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Haemorhous_mexicanus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Leptoglossus_occidentalis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Acridotheres_cristatellus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2026-06-15T13:34:19Z</dcterms:modified>
  <cp:category/>
</cp:coreProperties>
</file>