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0B" w14:textId="77777777" w:rsidR="00C92D4F" w:rsidRPr="00580AE8" w:rsidRDefault="00000000">
      <w:pPr>
        <w:pStyle w:val="Ttulo"/>
        <w:jc w:val="center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EXECUTIVE BRIEFING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92D4F" w:rsidRPr="00580AE8" w14:paraId="093311EA" w14:textId="77777777">
        <w:tc>
          <w:tcPr>
            <w:tcW w:w="4320" w:type="dxa"/>
          </w:tcPr>
          <w:p w14:paraId="7BABBC9D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320" w:type="dxa"/>
          </w:tcPr>
          <w:p w14:paraId="066FC707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t xml:space="preserve">THE VERY LONG COMPANY NAME LIMITED PARTNERSHIP GLOBAL EDITION</w:t>
            </w: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br/>
            </w:r>
            <w:r w:rsidRPr="00580AE8">
              <w:rPr>
                <w:rFonts w:ascii="Times New Roman" w:hAnsi="Times New Roman" w:cs="Times New Roman"/>
              </w:rPr>
              <w:t xml:space="preserve">CEO: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Confidential</w:t>
            </w:r>
            <w:r w:rsidRPr="00580AE8">
              <w:rPr>
                <w:rFonts w:ascii="Times New Roman" w:hAnsi="Times New Roman" w:cs="Times New Roman"/>
              </w:rPr>
              <w:br/>
              <w:t xml:space="preserve">Established: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1900</w:t>
            </w:r>
          </w:p>
        </w:tc>
      </w:tr>
    </w:tbl>
    <w:p w14:paraId="07430498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br/>
      </w:r>
    </w:p>
    <w:p w14:paraId="3113F2BE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Financial Performance</w:t>
      </w:r>
    </w:p>
    <w:p w14:paraId="65542D5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Fiscal Revenue: </w:t>
      </w:r>
      <w:r w:rsidRPr="00580AE8">
        <w:rPr>
          <w:rFonts w:ascii="Times New Roman" w:hAnsi="Times New Roman" w:cs="Times New Roman"/>
          <w:b/>
          <w:noProof/>
        </w:rPr>
        <w:t xml:space="preserve">US$ 9.999.999,99</w:t>
      </w:r>
    </w:p>
    <w:p w14:paraId="695CB6B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Growth Trajectory: </w:t>
      </w:r>
      <w:r w:rsidRPr="00580AE8">
        <w:rPr>
          <w:rFonts w:ascii="Times New Roman" w:hAnsi="Times New Roman" w:cs="Times New Roman"/>
          <w:noProof/>
        </w:rPr>
        <w:t xml:space="preserve">100%</w:t>
      </w:r>
    </w:p>
    <w:p w14:paraId="24DAE007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Risk Assessment</w:t>
      </w:r>
    </w:p>
    <w:p w14:paraId="7BD139F1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Current Status: </w:t>
      </w:r>
      <w:r w:rsidRPr="00580AE8">
        <w:rPr>
          <w:rFonts w:ascii="Times New Roman" w:hAnsi="Times New Roman" w:cs="Times New Roman"/>
          <w:b/>
          <w:noProof/>
          <w:color w:val="C80000"/>
        </w:rPr>
        <w:t xml:space="preserve">Low Risk (Approved)</w:t>
      </w:r>
    </w:p>
    <w:sectPr w:rsidR="00C92D4F" w:rsidRPr="00580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817">
    <w:abstractNumId w:val="8"/>
  </w:num>
  <w:num w:numId="2" w16cid:durableId="1563179019">
    <w:abstractNumId w:val="6"/>
  </w:num>
  <w:num w:numId="3" w16cid:durableId="66928798">
    <w:abstractNumId w:val="5"/>
  </w:num>
  <w:num w:numId="4" w16cid:durableId="152189616">
    <w:abstractNumId w:val="4"/>
  </w:num>
  <w:num w:numId="5" w16cid:durableId="986977144">
    <w:abstractNumId w:val="7"/>
  </w:num>
  <w:num w:numId="6" w16cid:durableId="424034461">
    <w:abstractNumId w:val="3"/>
  </w:num>
  <w:num w:numId="7" w16cid:durableId="1208831145">
    <w:abstractNumId w:val="2"/>
  </w:num>
  <w:num w:numId="8" w16cid:durableId="2029943709">
    <w:abstractNumId w:val="1"/>
  </w:num>
  <w:num w:numId="9" w16cid:durableId="46743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29639D"/>
    <w:rsid w:val="00326F90"/>
    <w:rsid w:val="00580AE8"/>
    <w:rsid w:val="00AA1D8D"/>
    <w:rsid w:val="00B47730"/>
    <w:rsid w:val="00C92D4F"/>
    <w:rsid w:val="00CB0664"/>
    <w:rsid w:val="00F92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48B9A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469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3</cp:revision>
  <dcterms:created xsi:type="dcterms:W3CDTF">2013-12-23T23:15:00Z</dcterms:created>
  <dcterms:modified xsi:type="dcterms:W3CDTF">2026-01-24T07:30:00Z</dcterms:modified>
  <cp:category/>
  <dc:identifier/>
  <dc:language/>
</cp:coreProperties>
</file>