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Nada Mohamed 857606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Alessia Rubini 851890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Visual Information Processing and Management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-Tutti i notebook sono già stati precedentemente eseguiti-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hd w:fill="f4cccc" w:val="clear"/>
          <w:rtl w:val="0"/>
        </w:rPr>
        <w:t xml:space="preserve">Elaborazione dei dati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(svolta in matlab)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All’interno di questa ci sono i seguenti file: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estrazione_outliers_ResNet50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usato per identificare gli outliers all’interno del train set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outliers identificati nel train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after_outlier_identification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una volta identificati gli outliers, questo viene utilizzato per estrarli dal train originale in modo da ottenere il train pulito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train pulito senza le immagini fuori contesto identificate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sampling</w:t>
      </w:r>
      <w:r w:rsidDel="00000000" w:rsidR="00000000" w:rsidRPr="00000000">
        <w:rPr>
          <w:rtl w:val="0"/>
        </w:rPr>
        <w:t xml:space="preserve">: successivamente è stato utilizzato questo per bilanciare (mediante undersampling e oversampling) il train pulito ottenuto al punto precedente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train bilanciato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brisque</w:t>
      </w:r>
      <w:r w:rsidDel="00000000" w:rsidR="00000000" w:rsidRPr="00000000">
        <w:rPr>
          <w:rtl w:val="0"/>
        </w:rPr>
        <w:t xml:space="preserve">: usato per analizzare il test set degradato e non, per poi identificare la quantità -circa- di elementi degradati nel primo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data_augmentation_degradated</w:t>
      </w:r>
      <w:r w:rsidDel="00000000" w:rsidR="00000000" w:rsidRPr="00000000">
        <w:rPr>
          <w:rtl w:val="0"/>
        </w:rPr>
        <w:t xml:space="preserve">: una volta determinata la quantità di dati da degradare nel train set, questo viene utilizzato per svolgere tale compito.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degradato</w:t>
      </w:r>
    </w:p>
    <w:p w:rsidR="00000000" w:rsidDel="00000000" w:rsidP="00000000" w:rsidRDefault="00000000" w:rsidRPr="00000000" w14:paraId="00000014">
      <w:pPr>
        <w:jc w:val="left"/>
        <w:rPr>
          <w:b w:val="1"/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shd w:fill="f4cccc" w:val="clear"/>
          <w:rtl w:val="0"/>
        </w:rPr>
        <w:t xml:space="preserve">Modelli di classificazione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(svolta in python)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All’interno di questa ci sono tre cartelle: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resnet101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resnet50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efficientnet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-modello selezionato-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All’interno di ognuna di queste cartelle ci sono due notebook, uno con il modello allenato sul train degradato e l’altro sul train originale.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Con ogni notebook è stato caricato il modello addestrato corrispondente.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Inoltre all’interno di questa cartella ci sono due notebook corrispondenti all’analisi visiva riportata nel ppt; una eseguita sul test degradato e l’altra sul test non degradato.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Facoltativi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Qui vengono riportati notebook relativi ai task facoltativi svolti ovvero: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similarity (svolta in python)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image-detection (svolta in matlab) +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food recognition (svolto in python)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