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276" w:rsidRDefault="0085097F" w:rsidP="0085097F">
      <w:pPr>
        <w:jc w:val="center"/>
        <w:rPr>
          <w:b/>
          <w:i/>
          <w:sz w:val="24"/>
          <w:szCs w:val="24"/>
        </w:rPr>
      </w:pPr>
      <w:proofErr w:type="spellStart"/>
      <w:r w:rsidRPr="0085097F">
        <w:rPr>
          <w:b/>
          <w:i/>
          <w:sz w:val="24"/>
          <w:szCs w:val="24"/>
        </w:rPr>
        <w:t>PySchool</w:t>
      </w:r>
      <w:proofErr w:type="spellEnd"/>
      <w:r w:rsidRPr="0085097F">
        <w:rPr>
          <w:b/>
          <w:i/>
          <w:sz w:val="24"/>
          <w:szCs w:val="24"/>
        </w:rPr>
        <w:t xml:space="preserve"> – </w:t>
      </w:r>
      <w:bookmarkStart w:id="0" w:name="_GoBack"/>
      <w:bookmarkEnd w:id="0"/>
      <w:r w:rsidRPr="0085097F">
        <w:rPr>
          <w:b/>
          <w:i/>
          <w:sz w:val="24"/>
          <w:szCs w:val="24"/>
        </w:rPr>
        <w:t>Results Report</w:t>
      </w:r>
      <w:r w:rsidR="00E5667D">
        <w:rPr>
          <w:b/>
          <w:i/>
          <w:sz w:val="24"/>
          <w:szCs w:val="24"/>
        </w:rPr>
        <w:t xml:space="preserve"> and analysis</w:t>
      </w:r>
    </w:p>
    <w:p w:rsidR="00846FFF" w:rsidRPr="0085097F" w:rsidRDefault="00846FFF" w:rsidP="0085097F">
      <w:pPr>
        <w:jc w:val="center"/>
        <w:rPr>
          <w:b/>
          <w:i/>
          <w:sz w:val="24"/>
          <w:szCs w:val="24"/>
        </w:rPr>
      </w:pPr>
      <w:r>
        <w:rPr>
          <w:b/>
          <w:i/>
          <w:sz w:val="24"/>
          <w:szCs w:val="24"/>
        </w:rPr>
        <w:t>Rubi Trujillo</w:t>
      </w:r>
    </w:p>
    <w:p w:rsidR="0085097F" w:rsidRPr="0085097F" w:rsidRDefault="0085097F" w:rsidP="0085097F">
      <w:pPr>
        <w:spacing w:before="100" w:beforeAutospacing="1" w:after="100" w:afterAutospacing="1" w:line="240" w:lineRule="auto"/>
        <w:outlineLvl w:val="1"/>
        <w:rPr>
          <w:rFonts w:ascii="Arial" w:eastAsia="Times New Roman" w:hAnsi="Arial" w:cs="Arial"/>
          <w:b/>
          <w:bCs/>
          <w:sz w:val="24"/>
          <w:szCs w:val="24"/>
        </w:rPr>
      </w:pPr>
      <w:r>
        <w:rPr>
          <w:rFonts w:ascii="Arial" w:eastAsia="Times New Roman" w:hAnsi="Arial" w:cs="Arial"/>
          <w:b/>
          <w:bCs/>
          <w:sz w:val="24"/>
          <w:szCs w:val="24"/>
        </w:rPr>
        <w:t>Performance of Schools based in size</w:t>
      </w:r>
    </w:p>
    <w:tbl>
      <w:tblPr>
        <w:tblStyle w:val="Tabladecuadrcula4-nfasis4"/>
        <w:tblW w:w="0" w:type="auto"/>
        <w:tblLook w:val="04A0" w:firstRow="1" w:lastRow="0" w:firstColumn="1" w:lastColumn="0" w:noHBand="0" w:noVBand="1"/>
      </w:tblPr>
      <w:tblGrid>
        <w:gridCol w:w="1396"/>
        <w:gridCol w:w="1682"/>
        <w:gridCol w:w="1831"/>
        <w:gridCol w:w="1397"/>
        <w:gridCol w:w="1380"/>
        <w:gridCol w:w="1142"/>
      </w:tblGrid>
      <w:tr w:rsidR="0085097F" w:rsidRPr="0085097F" w:rsidTr="00850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hideMark/>
          </w:tcPr>
          <w:p w:rsidR="0085097F" w:rsidRDefault="0085097F" w:rsidP="0085097F">
            <w:pPr>
              <w:rPr>
                <w:rFonts w:ascii="&amp;quot" w:eastAsia="Times New Roman" w:hAnsi="&amp;quot" w:cs="Times New Roman"/>
                <w:color w:val="000000"/>
                <w:sz w:val="18"/>
                <w:szCs w:val="18"/>
              </w:rPr>
            </w:pPr>
          </w:p>
          <w:p w:rsidR="0085097F" w:rsidRPr="0085097F" w:rsidRDefault="0085097F" w:rsidP="0085097F">
            <w:pPr>
              <w:rPr>
                <w:rFonts w:ascii="Times New Roman" w:eastAsia="Times New Roman" w:hAnsi="Times New Roman" w:cs="Times New Roman"/>
                <w:sz w:val="24"/>
                <w:szCs w:val="24"/>
              </w:rPr>
            </w:pPr>
            <w:r w:rsidRPr="0085097F">
              <w:rPr>
                <w:rFonts w:ascii="&amp;quot" w:eastAsia="Times New Roman" w:hAnsi="&amp;quot" w:cs="Times New Roman"/>
                <w:color w:val="000000"/>
                <w:sz w:val="18"/>
                <w:szCs w:val="18"/>
              </w:rPr>
              <w:t>Rank School Size</w:t>
            </w:r>
          </w:p>
        </w:tc>
        <w:tc>
          <w:tcPr>
            <w:tcW w:w="1682" w:type="dxa"/>
            <w:hideMark/>
          </w:tcPr>
          <w:p w:rsidR="0085097F" w:rsidRPr="0085097F" w:rsidRDefault="0085097F" w:rsidP="0085097F">
            <w:pPr>
              <w:spacing w:before="240"/>
              <w:jc w:val="right"/>
              <w:cnfStyle w:val="100000000000" w:firstRow="1"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Average Math Score</w:t>
            </w:r>
          </w:p>
        </w:tc>
        <w:tc>
          <w:tcPr>
            <w:tcW w:w="0" w:type="auto"/>
            <w:hideMark/>
          </w:tcPr>
          <w:p w:rsidR="0085097F" w:rsidRPr="0085097F" w:rsidRDefault="0085097F" w:rsidP="0085097F">
            <w:pPr>
              <w:spacing w:before="240"/>
              <w:jc w:val="right"/>
              <w:cnfStyle w:val="100000000000" w:firstRow="1"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Average Reading Score</w:t>
            </w:r>
          </w:p>
        </w:tc>
        <w:tc>
          <w:tcPr>
            <w:tcW w:w="0" w:type="auto"/>
            <w:hideMark/>
          </w:tcPr>
          <w:p w:rsidR="0085097F" w:rsidRPr="0085097F" w:rsidRDefault="0085097F" w:rsidP="0085097F">
            <w:pPr>
              <w:spacing w:before="240"/>
              <w:jc w:val="right"/>
              <w:cnfStyle w:val="100000000000" w:firstRow="1"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 Passing Math</w:t>
            </w:r>
          </w:p>
        </w:tc>
        <w:tc>
          <w:tcPr>
            <w:tcW w:w="0" w:type="auto"/>
            <w:hideMark/>
          </w:tcPr>
          <w:p w:rsidR="0085097F" w:rsidRPr="0085097F" w:rsidRDefault="0085097F" w:rsidP="0085097F">
            <w:pPr>
              <w:spacing w:before="240"/>
              <w:jc w:val="right"/>
              <w:cnfStyle w:val="100000000000" w:firstRow="1"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 Passing Read</w:t>
            </w:r>
          </w:p>
        </w:tc>
        <w:tc>
          <w:tcPr>
            <w:tcW w:w="1142" w:type="dxa"/>
            <w:hideMark/>
          </w:tcPr>
          <w:p w:rsidR="0085097F" w:rsidRPr="0085097F" w:rsidRDefault="0085097F" w:rsidP="0085097F">
            <w:pPr>
              <w:spacing w:before="240"/>
              <w:jc w:val="right"/>
              <w:cnfStyle w:val="100000000000" w:firstRow="1"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Overall Passing Rate</w:t>
            </w:r>
          </w:p>
        </w:tc>
      </w:tr>
      <w:tr w:rsidR="0085097F" w:rsidRPr="0085097F" w:rsidTr="00D52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5097F" w:rsidRPr="0085097F" w:rsidRDefault="0085097F" w:rsidP="00D52F49">
            <w:pPr>
              <w:spacing w:before="240"/>
              <w:jc w:val="center"/>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S:426-1,698</w:t>
            </w:r>
          </w:p>
        </w:tc>
        <w:tc>
          <w:tcPr>
            <w:tcW w:w="0" w:type="auto"/>
            <w:vAlign w:val="center"/>
            <w:hideMark/>
          </w:tcPr>
          <w:p w:rsidR="0085097F" w:rsidRPr="0085097F" w:rsidRDefault="0085097F" w:rsidP="00D52F49">
            <w:pPr>
              <w:spacing w:before="240"/>
              <w:jc w:val="cente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83.603261</w:t>
            </w:r>
          </w:p>
        </w:tc>
        <w:tc>
          <w:tcPr>
            <w:tcW w:w="0" w:type="auto"/>
            <w:vAlign w:val="center"/>
            <w:hideMark/>
          </w:tcPr>
          <w:p w:rsidR="0085097F" w:rsidRPr="0085097F" w:rsidRDefault="0085097F" w:rsidP="00D52F49">
            <w:pPr>
              <w:spacing w:before="240"/>
              <w:jc w:val="cente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83.881343</w:t>
            </w:r>
          </w:p>
        </w:tc>
        <w:tc>
          <w:tcPr>
            <w:tcW w:w="0" w:type="auto"/>
            <w:vAlign w:val="center"/>
            <w:hideMark/>
          </w:tcPr>
          <w:p w:rsidR="0085097F" w:rsidRPr="0085097F" w:rsidRDefault="0085097F" w:rsidP="00D52F49">
            <w:pPr>
              <w:spacing w:before="240"/>
              <w:jc w:val="cente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93.441248</w:t>
            </w:r>
          </w:p>
        </w:tc>
        <w:tc>
          <w:tcPr>
            <w:tcW w:w="0" w:type="auto"/>
            <w:vAlign w:val="center"/>
            <w:hideMark/>
          </w:tcPr>
          <w:p w:rsidR="0085097F" w:rsidRPr="0085097F" w:rsidRDefault="0085097F" w:rsidP="00D52F49">
            <w:pPr>
              <w:spacing w:before="240"/>
              <w:jc w:val="cente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96.661677</w:t>
            </w:r>
          </w:p>
        </w:tc>
        <w:tc>
          <w:tcPr>
            <w:tcW w:w="1142" w:type="dxa"/>
            <w:vAlign w:val="center"/>
            <w:hideMark/>
          </w:tcPr>
          <w:p w:rsidR="0085097F" w:rsidRPr="0085097F" w:rsidRDefault="0085097F" w:rsidP="00D52F49">
            <w:pPr>
              <w:spacing w:before="240"/>
              <w:jc w:val="cente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95.051462</w:t>
            </w:r>
          </w:p>
        </w:tc>
      </w:tr>
      <w:tr w:rsidR="0085097F" w:rsidRPr="0085097F" w:rsidTr="00D52F49">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5097F" w:rsidRPr="0085097F" w:rsidRDefault="0085097F" w:rsidP="00D52F49">
            <w:pPr>
              <w:spacing w:before="240"/>
              <w:jc w:val="center"/>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M:1,699-2,283</w:t>
            </w:r>
          </w:p>
        </w:tc>
        <w:tc>
          <w:tcPr>
            <w:tcW w:w="0" w:type="auto"/>
            <w:vAlign w:val="center"/>
            <w:hideMark/>
          </w:tcPr>
          <w:p w:rsidR="0085097F" w:rsidRPr="0085097F" w:rsidRDefault="0085097F" w:rsidP="00D52F49">
            <w:pPr>
              <w:spacing w:before="240"/>
              <w:jc w:val="cente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83.344443</w:t>
            </w:r>
          </w:p>
        </w:tc>
        <w:tc>
          <w:tcPr>
            <w:tcW w:w="0" w:type="auto"/>
            <w:vAlign w:val="center"/>
            <w:hideMark/>
          </w:tcPr>
          <w:p w:rsidR="0085097F" w:rsidRPr="0085097F" w:rsidRDefault="0085097F" w:rsidP="00D52F49">
            <w:pPr>
              <w:spacing w:before="240"/>
              <w:jc w:val="cente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83.911498</w:t>
            </w:r>
          </w:p>
        </w:tc>
        <w:tc>
          <w:tcPr>
            <w:tcW w:w="0" w:type="auto"/>
            <w:vAlign w:val="center"/>
            <w:hideMark/>
          </w:tcPr>
          <w:p w:rsidR="0085097F" w:rsidRPr="0085097F" w:rsidRDefault="0085097F" w:rsidP="00D52F49">
            <w:pPr>
              <w:spacing w:before="240"/>
              <w:jc w:val="cente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93.800412</w:t>
            </w:r>
          </w:p>
        </w:tc>
        <w:tc>
          <w:tcPr>
            <w:tcW w:w="0" w:type="auto"/>
            <w:vAlign w:val="center"/>
            <w:hideMark/>
          </w:tcPr>
          <w:p w:rsidR="0085097F" w:rsidRPr="0085097F" w:rsidRDefault="0085097F" w:rsidP="00D52F49">
            <w:pPr>
              <w:spacing w:before="240"/>
              <w:jc w:val="cente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96.511302</w:t>
            </w:r>
          </w:p>
        </w:tc>
        <w:tc>
          <w:tcPr>
            <w:tcW w:w="1142" w:type="dxa"/>
            <w:vAlign w:val="center"/>
            <w:hideMark/>
          </w:tcPr>
          <w:p w:rsidR="0085097F" w:rsidRPr="0085097F" w:rsidRDefault="0085097F" w:rsidP="00D52F49">
            <w:pPr>
              <w:spacing w:before="240"/>
              <w:jc w:val="cente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95.155857</w:t>
            </w:r>
          </w:p>
        </w:tc>
      </w:tr>
      <w:tr w:rsidR="0085097F" w:rsidRPr="0085097F" w:rsidTr="00D52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5097F" w:rsidRPr="0085097F" w:rsidRDefault="0085097F" w:rsidP="00D52F49">
            <w:pPr>
              <w:spacing w:before="240"/>
              <w:jc w:val="center"/>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L:2,284-3,474</w:t>
            </w:r>
          </w:p>
        </w:tc>
        <w:tc>
          <w:tcPr>
            <w:tcW w:w="0" w:type="auto"/>
            <w:vAlign w:val="center"/>
            <w:hideMark/>
          </w:tcPr>
          <w:p w:rsidR="0085097F" w:rsidRPr="0085097F" w:rsidRDefault="0085097F" w:rsidP="00D52F49">
            <w:pPr>
              <w:spacing w:before="240"/>
              <w:jc w:val="cente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76.814591</w:t>
            </w:r>
          </w:p>
        </w:tc>
        <w:tc>
          <w:tcPr>
            <w:tcW w:w="0" w:type="auto"/>
            <w:vAlign w:val="center"/>
            <w:hideMark/>
          </w:tcPr>
          <w:p w:rsidR="0085097F" w:rsidRPr="0085097F" w:rsidRDefault="0085097F" w:rsidP="00D52F49">
            <w:pPr>
              <w:spacing w:before="240"/>
              <w:jc w:val="cente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81.029000</w:t>
            </w:r>
          </w:p>
        </w:tc>
        <w:tc>
          <w:tcPr>
            <w:tcW w:w="0" w:type="auto"/>
            <w:vAlign w:val="center"/>
            <w:hideMark/>
          </w:tcPr>
          <w:p w:rsidR="0085097F" w:rsidRPr="0085097F" w:rsidRDefault="0085097F" w:rsidP="00D52F49">
            <w:pPr>
              <w:spacing w:before="240"/>
              <w:jc w:val="cente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66.660665</w:t>
            </w:r>
          </w:p>
        </w:tc>
        <w:tc>
          <w:tcPr>
            <w:tcW w:w="0" w:type="auto"/>
            <w:vAlign w:val="center"/>
            <w:hideMark/>
          </w:tcPr>
          <w:p w:rsidR="0085097F" w:rsidRPr="0085097F" w:rsidRDefault="0085097F" w:rsidP="00D52F49">
            <w:pPr>
              <w:spacing w:before="240"/>
              <w:jc w:val="cente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80.451556</w:t>
            </w:r>
          </w:p>
        </w:tc>
        <w:tc>
          <w:tcPr>
            <w:tcW w:w="1142" w:type="dxa"/>
            <w:vAlign w:val="center"/>
            <w:hideMark/>
          </w:tcPr>
          <w:p w:rsidR="0085097F" w:rsidRPr="0085097F" w:rsidRDefault="0085097F" w:rsidP="00D52F49">
            <w:pPr>
              <w:spacing w:before="240"/>
              <w:jc w:val="cente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73.556111</w:t>
            </w:r>
          </w:p>
        </w:tc>
      </w:tr>
      <w:tr w:rsidR="0085097F" w:rsidRPr="0085097F" w:rsidTr="00D52F49">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5097F" w:rsidRPr="0085097F" w:rsidRDefault="0085097F" w:rsidP="00D52F49">
            <w:pPr>
              <w:spacing w:before="240"/>
              <w:jc w:val="center"/>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VL:3,475-4,976</w:t>
            </w:r>
          </w:p>
        </w:tc>
        <w:tc>
          <w:tcPr>
            <w:tcW w:w="0" w:type="auto"/>
            <w:vAlign w:val="center"/>
            <w:hideMark/>
          </w:tcPr>
          <w:p w:rsidR="0085097F" w:rsidRPr="0085097F" w:rsidRDefault="0085097F" w:rsidP="00D52F49">
            <w:pPr>
              <w:spacing w:before="240"/>
              <w:jc w:val="cente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77.063340</w:t>
            </w:r>
          </w:p>
        </w:tc>
        <w:tc>
          <w:tcPr>
            <w:tcW w:w="0" w:type="auto"/>
            <w:vAlign w:val="center"/>
            <w:hideMark/>
          </w:tcPr>
          <w:p w:rsidR="0085097F" w:rsidRPr="0085097F" w:rsidRDefault="0085097F" w:rsidP="00D52F49">
            <w:pPr>
              <w:spacing w:before="240"/>
              <w:jc w:val="cente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80.919864</w:t>
            </w:r>
          </w:p>
        </w:tc>
        <w:tc>
          <w:tcPr>
            <w:tcW w:w="0" w:type="auto"/>
            <w:vAlign w:val="center"/>
            <w:hideMark/>
          </w:tcPr>
          <w:p w:rsidR="0085097F" w:rsidRPr="0085097F" w:rsidRDefault="0085097F" w:rsidP="00D52F49">
            <w:pPr>
              <w:spacing w:before="240"/>
              <w:jc w:val="cente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66.464293</w:t>
            </w:r>
          </w:p>
        </w:tc>
        <w:tc>
          <w:tcPr>
            <w:tcW w:w="0" w:type="auto"/>
            <w:vAlign w:val="center"/>
            <w:hideMark/>
          </w:tcPr>
          <w:p w:rsidR="0085097F" w:rsidRPr="0085097F" w:rsidRDefault="0085097F" w:rsidP="00D52F49">
            <w:pPr>
              <w:spacing w:before="240"/>
              <w:jc w:val="cente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81.059691</w:t>
            </w:r>
          </w:p>
        </w:tc>
        <w:tc>
          <w:tcPr>
            <w:tcW w:w="1142" w:type="dxa"/>
            <w:vAlign w:val="center"/>
            <w:hideMark/>
          </w:tcPr>
          <w:p w:rsidR="0085097F" w:rsidRPr="0085097F" w:rsidRDefault="0085097F" w:rsidP="00D52F49">
            <w:pPr>
              <w:spacing w:before="240"/>
              <w:jc w:val="cente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5097F">
              <w:rPr>
                <w:rFonts w:ascii="&amp;quot" w:eastAsia="Times New Roman" w:hAnsi="&amp;quot" w:cs="Times New Roman"/>
                <w:color w:val="000000"/>
                <w:sz w:val="18"/>
                <w:szCs w:val="18"/>
              </w:rPr>
              <w:t>73.761992</w:t>
            </w:r>
          </w:p>
        </w:tc>
      </w:tr>
    </w:tbl>
    <w:p w:rsidR="0085097F" w:rsidRDefault="0085097F">
      <w:pPr>
        <w:rPr>
          <w:sz w:val="24"/>
          <w:szCs w:val="24"/>
        </w:rPr>
      </w:pPr>
    </w:p>
    <w:p w:rsidR="00D52F49" w:rsidRDefault="0085097F">
      <w:pPr>
        <w:rPr>
          <w:sz w:val="20"/>
          <w:szCs w:val="20"/>
        </w:rPr>
      </w:pPr>
      <w:r w:rsidRPr="00D52F49">
        <w:rPr>
          <w:sz w:val="20"/>
          <w:szCs w:val="20"/>
        </w:rPr>
        <w:t>We have analyzed schools by size considering 4 groups, each of one has 25% of schools.</w:t>
      </w:r>
      <w:r w:rsidR="00D52F49">
        <w:rPr>
          <w:sz w:val="20"/>
          <w:szCs w:val="20"/>
        </w:rPr>
        <w:t xml:space="preserve"> What we observe is that school of medium and small size perform better (less than 2,283 students) than large schools.  This performance is very similar in math than in reading. Average score is significantly higher than larger schools.</w:t>
      </w:r>
    </w:p>
    <w:p w:rsidR="00D52F49" w:rsidRDefault="00D52F49">
      <w:pPr>
        <w:rPr>
          <w:sz w:val="20"/>
          <w:szCs w:val="20"/>
        </w:rPr>
      </w:pPr>
      <w:r>
        <w:rPr>
          <w:sz w:val="20"/>
          <w:szCs w:val="20"/>
        </w:rPr>
        <w:t>This can be explained because smaller schools can dedicate more effort and time to its students and this get more focused education and advising. When schools are larger resources are not enough, so students perform below expected.</w:t>
      </w:r>
    </w:p>
    <w:p w:rsidR="00C13C35" w:rsidRDefault="00C13C35" w:rsidP="00C13C35">
      <w:pPr>
        <w:spacing w:before="100" w:beforeAutospacing="1" w:after="100" w:afterAutospacing="1" w:line="240" w:lineRule="auto"/>
        <w:outlineLvl w:val="1"/>
        <w:rPr>
          <w:rFonts w:ascii="Arial" w:eastAsia="Times New Roman" w:hAnsi="Arial" w:cs="Arial"/>
          <w:b/>
          <w:bCs/>
          <w:sz w:val="24"/>
          <w:szCs w:val="24"/>
        </w:rPr>
      </w:pPr>
      <w:r>
        <w:rPr>
          <w:rFonts w:ascii="Arial" w:eastAsia="Times New Roman" w:hAnsi="Arial" w:cs="Arial"/>
          <w:b/>
          <w:bCs/>
          <w:sz w:val="24"/>
          <w:szCs w:val="24"/>
        </w:rPr>
        <w:t>Performance of Schools based on its type</w:t>
      </w:r>
    </w:p>
    <w:tbl>
      <w:tblPr>
        <w:tblStyle w:val="Tabladecuadrcula4-nfasis6"/>
        <w:tblW w:w="0" w:type="auto"/>
        <w:tblLook w:val="04A0" w:firstRow="1" w:lastRow="0" w:firstColumn="1" w:lastColumn="0" w:noHBand="0" w:noVBand="1"/>
      </w:tblPr>
      <w:tblGrid>
        <w:gridCol w:w="1218"/>
        <w:gridCol w:w="1579"/>
        <w:gridCol w:w="1740"/>
        <w:gridCol w:w="1352"/>
        <w:gridCol w:w="1338"/>
        <w:gridCol w:w="1601"/>
      </w:tblGrid>
      <w:tr w:rsidR="00846FFF" w:rsidRPr="00846FFF" w:rsidTr="00846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46FFF" w:rsidRDefault="00846FFF" w:rsidP="00846FFF">
            <w:pPr>
              <w:rPr>
                <w:rFonts w:ascii="&amp;quot" w:eastAsia="Times New Roman" w:hAnsi="&amp;quot" w:cs="Times New Roman"/>
                <w:color w:val="000000"/>
                <w:sz w:val="18"/>
                <w:szCs w:val="18"/>
              </w:rPr>
            </w:pPr>
          </w:p>
          <w:p w:rsidR="00846FFF" w:rsidRPr="00846FFF" w:rsidRDefault="00846FFF" w:rsidP="00846FFF">
            <w:pPr>
              <w:rPr>
                <w:rFonts w:ascii="&amp;quot" w:eastAsia="Times New Roman" w:hAnsi="&amp;quot" w:cs="Times New Roman"/>
                <w:color w:val="000000"/>
                <w:sz w:val="18"/>
                <w:szCs w:val="18"/>
              </w:rPr>
            </w:pPr>
            <w:r>
              <w:rPr>
                <w:rFonts w:ascii="&amp;quot" w:eastAsia="Times New Roman" w:hAnsi="&amp;quot" w:cs="Times New Roman"/>
                <w:color w:val="000000"/>
                <w:sz w:val="18"/>
                <w:szCs w:val="18"/>
              </w:rPr>
              <w:t>Type of School</w:t>
            </w:r>
          </w:p>
        </w:tc>
        <w:tc>
          <w:tcPr>
            <w:tcW w:w="0" w:type="auto"/>
            <w:hideMark/>
          </w:tcPr>
          <w:p w:rsidR="00846FFF" w:rsidRPr="00846FFF" w:rsidRDefault="00846FFF" w:rsidP="00846FFF">
            <w:pPr>
              <w:spacing w:before="240"/>
              <w:jc w:val="right"/>
              <w:cnfStyle w:val="100000000000" w:firstRow="1"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Average Math Score</w:t>
            </w:r>
          </w:p>
        </w:tc>
        <w:tc>
          <w:tcPr>
            <w:tcW w:w="0" w:type="auto"/>
            <w:hideMark/>
          </w:tcPr>
          <w:p w:rsidR="00846FFF" w:rsidRPr="00846FFF" w:rsidRDefault="00846FFF" w:rsidP="00846FFF">
            <w:pPr>
              <w:spacing w:before="240"/>
              <w:jc w:val="right"/>
              <w:cnfStyle w:val="100000000000" w:firstRow="1"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Average Reading Score</w:t>
            </w:r>
          </w:p>
        </w:tc>
        <w:tc>
          <w:tcPr>
            <w:tcW w:w="0" w:type="auto"/>
            <w:hideMark/>
          </w:tcPr>
          <w:p w:rsidR="00846FFF" w:rsidRPr="00846FFF" w:rsidRDefault="00846FFF" w:rsidP="00846FFF">
            <w:pPr>
              <w:spacing w:before="240"/>
              <w:jc w:val="right"/>
              <w:cnfStyle w:val="100000000000" w:firstRow="1"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 Passing Math</w:t>
            </w:r>
          </w:p>
        </w:tc>
        <w:tc>
          <w:tcPr>
            <w:tcW w:w="0" w:type="auto"/>
            <w:hideMark/>
          </w:tcPr>
          <w:p w:rsidR="00846FFF" w:rsidRPr="00846FFF" w:rsidRDefault="00846FFF" w:rsidP="00846FFF">
            <w:pPr>
              <w:spacing w:before="240"/>
              <w:jc w:val="right"/>
              <w:cnfStyle w:val="100000000000" w:firstRow="1"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 Passing Read</w:t>
            </w:r>
          </w:p>
        </w:tc>
        <w:tc>
          <w:tcPr>
            <w:tcW w:w="0" w:type="auto"/>
            <w:hideMark/>
          </w:tcPr>
          <w:p w:rsidR="00846FFF" w:rsidRPr="00846FFF" w:rsidRDefault="00846FFF" w:rsidP="00846FFF">
            <w:pPr>
              <w:spacing w:before="240"/>
              <w:jc w:val="right"/>
              <w:cnfStyle w:val="100000000000" w:firstRow="1"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Overall Passing Rate</w:t>
            </w:r>
          </w:p>
        </w:tc>
      </w:tr>
      <w:tr w:rsidR="00846FFF" w:rsidRPr="00846FFF" w:rsidTr="00846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46FFF" w:rsidRPr="00846FFF" w:rsidRDefault="00846FFF" w:rsidP="00846FFF">
            <w:pPr>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Charter</w:t>
            </w:r>
          </w:p>
        </w:tc>
        <w:tc>
          <w:tcPr>
            <w:tcW w:w="0" w:type="auto"/>
            <w:hideMark/>
          </w:tcPr>
          <w:p w:rsidR="00846FFF" w:rsidRPr="00846FFF" w:rsidRDefault="00846FFF" w:rsidP="00846FFF">
            <w:pP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83.406183</w:t>
            </w:r>
          </w:p>
        </w:tc>
        <w:tc>
          <w:tcPr>
            <w:tcW w:w="0" w:type="auto"/>
            <w:hideMark/>
          </w:tcPr>
          <w:p w:rsidR="00846FFF" w:rsidRPr="00846FFF" w:rsidRDefault="00846FFF" w:rsidP="00846FFF">
            <w:pP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83.902821</w:t>
            </w:r>
          </w:p>
        </w:tc>
        <w:tc>
          <w:tcPr>
            <w:tcW w:w="0" w:type="auto"/>
            <w:hideMark/>
          </w:tcPr>
          <w:p w:rsidR="00846FFF" w:rsidRPr="00846FFF" w:rsidRDefault="00846FFF" w:rsidP="00846FFF">
            <w:pP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93.701821</w:t>
            </w:r>
          </w:p>
        </w:tc>
        <w:tc>
          <w:tcPr>
            <w:tcW w:w="0" w:type="auto"/>
            <w:hideMark/>
          </w:tcPr>
          <w:p w:rsidR="00846FFF" w:rsidRPr="00846FFF" w:rsidRDefault="00846FFF" w:rsidP="00846FFF">
            <w:pP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96.645891</w:t>
            </w:r>
          </w:p>
        </w:tc>
        <w:tc>
          <w:tcPr>
            <w:tcW w:w="0" w:type="auto"/>
            <w:hideMark/>
          </w:tcPr>
          <w:p w:rsidR="00846FFF" w:rsidRPr="00846FFF" w:rsidRDefault="00846FFF" w:rsidP="00846FFF">
            <w:pP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95.173856</w:t>
            </w:r>
          </w:p>
        </w:tc>
      </w:tr>
      <w:tr w:rsidR="00846FFF" w:rsidRPr="00846FFF" w:rsidTr="00846FFF">
        <w:tc>
          <w:tcPr>
            <w:cnfStyle w:val="001000000000" w:firstRow="0" w:lastRow="0" w:firstColumn="1" w:lastColumn="0" w:oddVBand="0" w:evenVBand="0" w:oddHBand="0" w:evenHBand="0" w:firstRowFirstColumn="0" w:firstRowLastColumn="0" w:lastRowFirstColumn="0" w:lastRowLastColumn="0"/>
            <w:tcW w:w="0" w:type="auto"/>
            <w:hideMark/>
          </w:tcPr>
          <w:p w:rsidR="00846FFF" w:rsidRPr="00846FFF" w:rsidRDefault="00846FFF" w:rsidP="00846FFF">
            <w:pPr>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District</w:t>
            </w:r>
          </w:p>
        </w:tc>
        <w:tc>
          <w:tcPr>
            <w:tcW w:w="0" w:type="auto"/>
            <w:hideMark/>
          </w:tcPr>
          <w:p w:rsidR="00846FFF" w:rsidRPr="00846FFF" w:rsidRDefault="00846FFF" w:rsidP="00846FFF">
            <w:pP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76.987026</w:t>
            </w:r>
          </w:p>
        </w:tc>
        <w:tc>
          <w:tcPr>
            <w:tcW w:w="0" w:type="auto"/>
            <w:hideMark/>
          </w:tcPr>
          <w:p w:rsidR="00846FFF" w:rsidRPr="00846FFF" w:rsidRDefault="00846FFF" w:rsidP="00846FFF">
            <w:pP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80.962485</w:t>
            </w:r>
          </w:p>
        </w:tc>
        <w:tc>
          <w:tcPr>
            <w:tcW w:w="0" w:type="auto"/>
            <w:hideMark/>
          </w:tcPr>
          <w:p w:rsidR="00846FFF" w:rsidRPr="00846FFF" w:rsidRDefault="00846FFF" w:rsidP="00846FFF">
            <w:pP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66.518387</w:t>
            </w:r>
          </w:p>
        </w:tc>
        <w:tc>
          <w:tcPr>
            <w:tcW w:w="0" w:type="auto"/>
            <w:hideMark/>
          </w:tcPr>
          <w:p w:rsidR="00846FFF" w:rsidRPr="00846FFF" w:rsidRDefault="00846FFF" w:rsidP="00846FFF">
            <w:pP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80.905249</w:t>
            </w:r>
          </w:p>
        </w:tc>
        <w:tc>
          <w:tcPr>
            <w:tcW w:w="0" w:type="auto"/>
            <w:hideMark/>
          </w:tcPr>
          <w:p w:rsidR="00846FFF" w:rsidRPr="00846FFF" w:rsidRDefault="00846FFF" w:rsidP="00846FFF">
            <w:pP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18"/>
                <w:szCs w:val="18"/>
              </w:rPr>
            </w:pPr>
            <w:r w:rsidRPr="00846FFF">
              <w:rPr>
                <w:rFonts w:ascii="&amp;quot" w:eastAsia="Times New Roman" w:hAnsi="&amp;quot" w:cs="Times New Roman"/>
                <w:color w:val="000000"/>
                <w:sz w:val="18"/>
                <w:szCs w:val="18"/>
              </w:rPr>
              <w:t>73.711818</w:t>
            </w:r>
          </w:p>
        </w:tc>
      </w:tr>
    </w:tbl>
    <w:p w:rsidR="00846FFF" w:rsidRDefault="00846FFF">
      <w:pPr>
        <w:rPr>
          <w:sz w:val="20"/>
          <w:szCs w:val="20"/>
        </w:rPr>
      </w:pPr>
    </w:p>
    <w:p w:rsidR="00C13C35" w:rsidRDefault="00846FFF">
      <w:pPr>
        <w:rPr>
          <w:sz w:val="20"/>
          <w:szCs w:val="20"/>
        </w:rPr>
      </w:pPr>
      <w:r w:rsidRPr="00D52F49">
        <w:rPr>
          <w:sz w:val="20"/>
          <w:szCs w:val="20"/>
        </w:rPr>
        <w:t xml:space="preserve">We have analyzed schools by </w:t>
      </w:r>
      <w:r>
        <w:rPr>
          <w:sz w:val="20"/>
          <w:szCs w:val="20"/>
        </w:rPr>
        <w:t>type</w:t>
      </w:r>
      <w:r w:rsidRPr="00D52F49">
        <w:rPr>
          <w:sz w:val="20"/>
          <w:szCs w:val="20"/>
        </w:rPr>
        <w:t xml:space="preserve"> considering </w:t>
      </w:r>
      <w:r>
        <w:rPr>
          <w:sz w:val="20"/>
          <w:szCs w:val="20"/>
        </w:rPr>
        <w:t>2</w:t>
      </w:r>
      <w:r w:rsidRPr="00D52F49">
        <w:rPr>
          <w:sz w:val="20"/>
          <w:szCs w:val="20"/>
        </w:rPr>
        <w:t xml:space="preserve"> </w:t>
      </w:r>
      <w:r>
        <w:rPr>
          <w:sz w:val="20"/>
          <w:szCs w:val="20"/>
        </w:rPr>
        <w:t>types: charter and district. We observe that charter schools perform better compared with district schools. This performance is higher in math and in reading. Passing reading rate is higher than passing math rate in both type, by again, charter has higher rates.</w:t>
      </w:r>
    </w:p>
    <w:p w:rsidR="00846FFF" w:rsidRDefault="00846FFF">
      <w:pPr>
        <w:rPr>
          <w:sz w:val="20"/>
          <w:szCs w:val="20"/>
        </w:rPr>
      </w:pPr>
      <w:r>
        <w:rPr>
          <w:sz w:val="20"/>
          <w:szCs w:val="20"/>
        </w:rPr>
        <w:t>The performance can be explained since charter schools act with freedom, which means they can decide what programs apply and how to use the budget. It is prove</w:t>
      </w:r>
      <w:r w:rsidR="00F478C3">
        <w:rPr>
          <w:sz w:val="20"/>
          <w:szCs w:val="20"/>
        </w:rPr>
        <w:t>d</w:t>
      </w:r>
      <w:r>
        <w:rPr>
          <w:sz w:val="20"/>
          <w:szCs w:val="20"/>
        </w:rPr>
        <w:t xml:space="preserve"> that policies applied get better results than non-flexible schools (district).</w:t>
      </w:r>
    </w:p>
    <w:p w:rsidR="00F478C3" w:rsidRDefault="00F478C3">
      <w:pPr>
        <w:rPr>
          <w:sz w:val="20"/>
          <w:szCs w:val="20"/>
        </w:rPr>
      </w:pPr>
    </w:p>
    <w:p w:rsidR="00D52F49" w:rsidRDefault="009A1EFB">
      <w:pPr>
        <w:rPr>
          <w:rFonts w:ascii="Arial" w:eastAsia="Times New Roman" w:hAnsi="Arial" w:cs="Arial"/>
          <w:b/>
          <w:bCs/>
          <w:sz w:val="24"/>
          <w:szCs w:val="24"/>
        </w:rPr>
      </w:pPr>
      <w:r>
        <w:rPr>
          <w:rFonts w:ascii="Arial" w:eastAsia="Times New Roman" w:hAnsi="Arial" w:cs="Arial"/>
          <w:b/>
          <w:bCs/>
          <w:sz w:val="24"/>
          <w:szCs w:val="24"/>
        </w:rPr>
        <w:t>Budget per Student vs. Performance</w:t>
      </w:r>
    </w:p>
    <w:p w:rsidR="00F478C3" w:rsidRDefault="00F478C3" w:rsidP="00F478C3">
      <w:pPr>
        <w:rPr>
          <w:sz w:val="20"/>
          <w:szCs w:val="20"/>
        </w:rPr>
      </w:pPr>
      <w:r>
        <w:rPr>
          <w:sz w:val="20"/>
          <w:szCs w:val="20"/>
        </w:rPr>
        <w:t xml:space="preserve">If we compare the schools with higher performance vs schools with lower performance, we could observe that the budget per student doesn’t behave as it would have been expected. You could expect that trend would be: higher budget per student then higher performance, but the relation in negative or inverse. Lower budget is related with higher performance. </w:t>
      </w:r>
    </w:p>
    <w:p w:rsidR="00F478C3" w:rsidRDefault="00F478C3" w:rsidP="00F478C3">
      <w:pPr>
        <w:rPr>
          <w:sz w:val="20"/>
          <w:szCs w:val="20"/>
        </w:rPr>
      </w:pPr>
      <w:r>
        <w:rPr>
          <w:sz w:val="20"/>
          <w:szCs w:val="20"/>
        </w:rPr>
        <w:lastRenderedPageBreak/>
        <w:t xml:space="preserve">The real explanation to this is not that schools must get lower budget to perform better, but it is related on how schools focus this budget on effective plans to derive on good performing students. Charters schools perform better with lower budget, because they really focus this budget efficiently, District schools have a bigger budget per student and as a whole, but they are not knowing how to use it well. District schools must </w:t>
      </w:r>
      <w:r w:rsidR="009A1EFB">
        <w:rPr>
          <w:sz w:val="20"/>
          <w:szCs w:val="20"/>
        </w:rPr>
        <w:t>make so benchmark and take</w:t>
      </w:r>
      <w:r>
        <w:rPr>
          <w:sz w:val="20"/>
          <w:szCs w:val="20"/>
        </w:rPr>
        <w:t xml:space="preserve"> the best practices of charter</w:t>
      </w:r>
      <w:r w:rsidR="009A1EFB">
        <w:rPr>
          <w:sz w:val="20"/>
          <w:szCs w:val="20"/>
        </w:rPr>
        <w:t>s schools to improve the performance of its students.</w:t>
      </w:r>
    </w:p>
    <w:p w:rsidR="00F478C3" w:rsidRPr="00F478C3" w:rsidRDefault="00F478C3" w:rsidP="00F478C3">
      <w:pPr>
        <w:rPr>
          <w:rFonts w:ascii="Arial" w:eastAsia="Times New Roman" w:hAnsi="Arial" w:cs="Arial"/>
          <w:b/>
          <w:bCs/>
          <w:sz w:val="24"/>
          <w:szCs w:val="24"/>
        </w:rPr>
      </w:pPr>
    </w:p>
    <w:sectPr w:rsidR="00F478C3" w:rsidRPr="00F478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7F"/>
    <w:rsid w:val="00174276"/>
    <w:rsid w:val="005A23D6"/>
    <w:rsid w:val="00846FFF"/>
    <w:rsid w:val="0085097F"/>
    <w:rsid w:val="009A1EFB"/>
    <w:rsid w:val="00C13C35"/>
    <w:rsid w:val="00D52F49"/>
    <w:rsid w:val="00E5667D"/>
    <w:rsid w:val="00F4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7EE6"/>
  <w15:chartTrackingRefBased/>
  <w15:docId w15:val="{D2449581-3B11-4E57-8CB3-3AD65D83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509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097F"/>
    <w:rPr>
      <w:rFonts w:ascii="Times New Roman" w:eastAsia="Times New Roman" w:hAnsi="Times New Roman" w:cs="Times New Roman"/>
      <w:b/>
      <w:bCs/>
      <w:sz w:val="36"/>
      <w:szCs w:val="36"/>
    </w:rPr>
  </w:style>
  <w:style w:type="table" w:styleId="Tablanormal3">
    <w:name w:val="Plain Table 3"/>
    <w:basedOn w:val="Tablanormal"/>
    <w:uiPriority w:val="43"/>
    <w:rsid w:val="008509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4">
    <w:name w:val="Grid Table 4 Accent 4"/>
    <w:basedOn w:val="Tablanormal"/>
    <w:uiPriority w:val="49"/>
    <w:rsid w:val="0085097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846FF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344947">
      <w:bodyDiv w:val="1"/>
      <w:marLeft w:val="0"/>
      <w:marRight w:val="0"/>
      <w:marTop w:val="0"/>
      <w:marBottom w:val="0"/>
      <w:divBdr>
        <w:top w:val="none" w:sz="0" w:space="0" w:color="auto"/>
        <w:left w:val="none" w:sz="0" w:space="0" w:color="auto"/>
        <w:bottom w:val="none" w:sz="0" w:space="0" w:color="auto"/>
        <w:right w:val="none" w:sz="0" w:space="0" w:color="auto"/>
      </w:divBdr>
    </w:div>
    <w:div w:id="1785076809">
      <w:bodyDiv w:val="1"/>
      <w:marLeft w:val="0"/>
      <w:marRight w:val="0"/>
      <w:marTop w:val="0"/>
      <w:marBottom w:val="0"/>
      <w:divBdr>
        <w:top w:val="none" w:sz="0" w:space="0" w:color="auto"/>
        <w:left w:val="none" w:sz="0" w:space="0" w:color="auto"/>
        <w:bottom w:val="none" w:sz="0" w:space="0" w:color="auto"/>
        <w:right w:val="none" w:sz="0" w:space="0" w:color="auto"/>
      </w:divBdr>
      <w:divsChild>
        <w:div w:id="52850658">
          <w:marLeft w:val="0"/>
          <w:marRight w:val="0"/>
          <w:marTop w:val="0"/>
          <w:marBottom w:val="0"/>
          <w:divBdr>
            <w:top w:val="none" w:sz="0" w:space="0" w:color="auto"/>
            <w:left w:val="none" w:sz="0" w:space="0" w:color="auto"/>
            <w:bottom w:val="none" w:sz="0" w:space="0" w:color="auto"/>
            <w:right w:val="none" w:sz="0" w:space="0" w:color="auto"/>
          </w:divBdr>
        </w:div>
      </w:divsChild>
    </w:div>
    <w:div w:id="200979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414</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 trujillo godinez</dc:creator>
  <cp:keywords/>
  <dc:description/>
  <cp:lastModifiedBy>rubi trujillo godinez</cp:lastModifiedBy>
  <cp:revision>6</cp:revision>
  <dcterms:created xsi:type="dcterms:W3CDTF">2019-06-30T00:11:00Z</dcterms:created>
  <dcterms:modified xsi:type="dcterms:W3CDTF">2019-06-30T00:54:00Z</dcterms:modified>
</cp:coreProperties>
</file>