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20" w:before="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color w:val="111111"/>
          <w:sz w:val="22"/>
        </w:rPr>
        <w:t>ИНДИВИДУАЛЬНЫЙ ПРЕДПРИНИМАТЕЛЬ</w:t>
      </w:r>
    </w:p>
    <w:p>
      <w:pPr>
        <w:keepNext w:val="0"/>
        <w:spacing w:after="60" w:before="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color w:val="111111"/>
          <w:sz w:val="24"/>
        </w:rPr>
        <w:t>Безматерных Роман Павлович</w:t>
      </w:r>
    </w:p>
    <w:p>
      <w:pPr>
        <w:keepNext w:val="0"/>
        <w:spacing w:after="40" w:before="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555555"/>
          <w:sz w:val="19"/>
        </w:rPr>
        <w:t>ОГРНИП 322237500133521  ·  ИНН 231215603728</w:t>
      </w:r>
    </w:p>
    <w:p>
      <w:pPr>
        <w:keepNext w:val="0"/>
        <w:spacing w:after="20" w:before="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555555"/>
          <w:sz w:val="18"/>
        </w:rPr>
        <w:t>адрес регистрации: 350000, Краснодарский край, г. Краснодар, ул. Селезнева, д. 84, кв. 73</w:t>
      </w:r>
    </w:p>
    <w:p>
      <w:pPr>
        <w:keepNext w:val="0"/>
        <w:spacing w:after="200" w:before="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555555"/>
          <w:sz w:val="18"/>
        </w:rPr>
        <w:t>адрес места оказания услуг: г. Москва, Можайское шоссе, вл. 167</w:t>
      </w:r>
    </w:p>
    <w:p>
      <w:pPr>
        <w:keepNext w:val="0"/>
        <w:spacing w:after="120" w:before="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color w:val="111111"/>
          <w:sz w:val="26"/>
        </w:rPr>
        <w:t>ПРИКАЗ №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21"/>
              </w:rPr>
              <w:t>г. Москва</w:t>
            </w:r>
          </w:p>
        </w:tc>
        <w:tc>
          <w:tcPr>
            <w:tcW w:type="dxa" w:w="496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after="0" w:before="0" w:line="276" w:lineRule="auto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21"/>
              </w:rPr>
              <w:t>«15» августа 2026 г.</w:t>
            </w:r>
          </w:p>
        </w:tc>
      </w:tr>
    </w:tbl>
    <w:p>
      <w:pPr>
        <w:keepNext/>
        <w:spacing w:after="40" w:before="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color w:val="111111"/>
          <w:sz w:val="24"/>
        </w:rPr>
        <w:t>О введении в действие форм договоров, заказ-нарядов</w:t>
      </w:r>
    </w:p>
    <w:p>
      <w:pPr>
        <w:keepNext/>
        <w:spacing w:after="40" w:before="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color w:val="111111"/>
          <w:sz w:val="24"/>
        </w:rPr>
        <w:t>и регламента работы мастера-приёмщика и администратора</w:t>
      </w:r>
    </w:p>
    <w:p>
      <w:pPr>
        <w:keepNext w:val="0"/>
        <w:spacing w:after="240" w:before="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color w:val="111111"/>
          <w:sz w:val="24"/>
        </w:rPr>
        <w:t>станции технического обслуживания</w:t>
      </w:r>
    </w:p>
    <w:p>
      <w:pPr>
        <w:keepNext w:val="0"/>
        <w:spacing w:after="160" w:before="0" w:line="288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111111"/>
          <w:sz w:val="22"/>
        </w:rPr>
        <w:t>В целях приведения документооборота станции технического обслуживания в соответствие с Правилами оказания услуг (выполнения работ) по техническому обслуживанию и ремонту автомототранспортных средств, утверждёнными постановлением Правительства Российской Федерации от 29.05.2025 № 780, параграфа 1–2 главы 37 Гражданского кодекса Российской Федерации, Законом Российской Федерации «О защите прав потребителей» от 07.02.1992 № 2300-1; Федеральным законом «О применении контрольно-кассовой техники при осуществлении расчетов в Российской Федерации» от 22.05.2003 № 54-ФЗ и Федеральным законом «О персональных данных» от 27.07.2006 № 152-ФЗ, а также в целях сокращения количества оформляемых бланков и подписей Заказчика,</w:t>
      </w:r>
    </w:p>
    <w:p>
      <w:pPr>
        <w:keepNext w:val="0"/>
        <w:spacing w:after="200" w:before="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color w:val="111111"/>
          <w:sz w:val="24"/>
        </w:rPr>
        <w:t>ПРИКАЗЫВАЮ:</w:t>
      </w:r>
    </w:p>
    <w:p>
      <w:pPr>
        <w:keepNext w:val="0"/>
        <w:spacing w:after="120" w:before="20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color w:val="111111"/>
          <w:sz w:val="22"/>
        </w:rPr>
        <w:t>1. Утвердить и ввести в действие формы документов</w:t>
      </w:r>
    </w:p>
    <w:p>
      <w:pPr>
        <w:keepNext w:val="0"/>
        <w:spacing w:after="120" w:before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111111"/>
          <w:sz w:val="22"/>
        </w:rPr>
        <w:t>1.1. Утвердить и ввести в действие с «15» августа 2026 г. следующие формы документов (приложения к настоящему приказу):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111111"/>
                <w:sz w:val="19"/>
              </w:rPr>
              <w:t>№</w:t>
            </w:r>
          </w:p>
        </w:tc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111111"/>
                <w:sz w:val="19"/>
              </w:rPr>
              <w:t>Наименование документа</w:t>
            </w:r>
          </w:p>
        </w:tc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111111"/>
                <w:sz w:val="19"/>
              </w:rPr>
              <w:t>Применяется</w:t>
            </w:r>
          </w:p>
        </w:tc>
      </w:tr>
      <w:tr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1</w:t>
            </w:r>
          </w:p>
        </w:tc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Договор-оферта на техническое обслуживание и ремонт автомототранспортных средств (для заказчиков — физических лиц)</w:t>
            </w:r>
          </w:p>
        </w:tc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размещается в уголке потребителя и на сайте</w:t>
            </w:r>
          </w:p>
        </w:tc>
      </w:tr>
      <w:tr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2</w:t>
            </w:r>
          </w:p>
        </w:tc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Заказ-наряд полного цикла для заказчика — физического лица (включает приёмо-сдаточный акт, лист осмотра (дефектовки) и согласования дополнительных работ, акт сдачи-приёмки выполненных работ, гарантийный талон)</w:t>
            </w:r>
          </w:p>
        </w:tc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на каждое обращение физического лица</w:t>
            </w:r>
          </w:p>
        </w:tc>
      </w:tr>
      <w:tr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3</w:t>
            </w:r>
          </w:p>
        </w:tc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Договор на техническое обслуживание и ремонт автомототранспортных средств с юридическим лицом или индивидуальным предпринимателем</w:t>
            </w:r>
          </w:p>
        </w:tc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с каждым заказчиком-организацией</w:t>
            </w:r>
          </w:p>
        </w:tc>
      </w:tr>
      <w:tr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4</w:t>
            </w:r>
          </w:p>
        </w:tc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Заказ-наряд полного цикла для заказчика — юридического лица или индивидуального предпринимателя (Приложение № 1 к договору)</w:t>
            </w:r>
          </w:p>
        </w:tc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на каждое обращение организации</w:t>
            </w:r>
          </w:p>
        </w:tc>
      </w:tr>
      <w:tr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5</w:t>
            </w:r>
          </w:p>
        </w:tc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Акт об окончании оказания услуг и неявке Заказчика за автомототранспортным средством</w:t>
            </w:r>
          </w:p>
        </w:tc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при неявке заказчика</w:t>
            </w:r>
          </w:p>
        </w:tc>
      </w:tr>
      <w:tr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6</w:t>
            </w:r>
          </w:p>
        </w:tc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Согласие на обработку персональных данных (реклама, информационные рассылки, публикация фотографий)</w:t>
            </w:r>
          </w:p>
        </w:tc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по желанию заказчика, отдельным документом</w:t>
            </w:r>
          </w:p>
        </w:tc>
      </w:tr>
      <w:tr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7</w:t>
            </w:r>
          </w:p>
        </w:tc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Регламент работы мастера-приёмщика и администратора станции технического обслуживания с приложениями: чек-лист приёма и выдачи автомобиля, памятка о документах Заказчика, требования к автоматическому заполнению документов программным помощником</w:t>
            </w:r>
          </w:p>
        </w:tc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внутренний документ, обязателен для работников</w:t>
            </w:r>
          </w:p>
        </w:tc>
      </w:tr>
    </w:tbl>
    <w:p>
      <w:pPr>
        <w:keepNext w:val="0"/>
        <w:spacing w:after="120" w:before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111111"/>
          <w:sz w:val="22"/>
        </w:rPr>
        <w:t>1.2. Формы, указанные в пунктах 1–4 таблицы, применяются в качестве единственных документов, оформляемых при приёме, ремонте и выдаче автомототранспортного средства. Отдельные приёмо-сдаточный акт, акт осмотра (дефектовки), акт согласования дополнительных работ, акт приёма-передачи запасных частей Заказчика, акт сдачи-приёмки выполненных работ и гарантийный талон не составляются: соответствующие сведения включены в единый заказ-наряд.</w:t>
      </w:r>
    </w:p>
    <w:p>
      <w:pPr>
        <w:keepNext w:val="0"/>
        <w:spacing w:after="120" w:before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111111"/>
          <w:sz w:val="22"/>
        </w:rPr>
        <w:t>1.3. Правовое основание объединения бланков: абзац четвёртый пункта 12 Правил № 780 — исполнитель вправе не составлять приёмо-сдаточный акт, если договор содержит информацию о том, что потребитель оставляет автомототранспортное средство исполнителю, а сведения о комплектности, внешнем виде (в том числе цифровые фотографии) и о запасных частях потребителя содержатся в договоре либо в приложении к нему. Единый заказ-наряд содержит все сведения, предусмотренные пунктом 9 Правил № 780.</w:t>
      </w:r>
    </w:p>
    <w:p>
      <w:pPr>
        <w:keepNext w:val="0"/>
        <w:spacing w:after="120" w:before="20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color w:val="111111"/>
          <w:sz w:val="22"/>
        </w:rPr>
        <w:t>2. Порядок применения форм</w:t>
      </w:r>
    </w:p>
    <w:p>
      <w:pPr>
        <w:keepNext w:val="0"/>
        <w:spacing w:after="120" w:before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111111"/>
          <w:sz w:val="22"/>
        </w:rPr>
        <w:t>2.1. Договор-оферта размещается в уголке потребителя и на сайте с указанием даты редакции; каждая новая редакция утверждается отдельным приказом. Все редакции хранятся с указанием периода их действия.</w:t>
      </w:r>
    </w:p>
    <w:p>
      <w:pPr>
        <w:keepNext w:val="0"/>
        <w:spacing w:after="120" w:before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111111"/>
          <w:sz w:val="22"/>
        </w:rPr>
        <w:t>2.2. Заказ-наряд оформляется в двух экземплярах. При приёме автомототранспортного средства заполняются и подписываются разделы приёма (ПОДПИСЬ 1), и один экземпляр незамедлительно выдаётся Заказчику (пункт 12 Правил № 780). При выдаче автомототранспортного средства заполняются разделы сдачи-приёмки и гарантии (ПОДПИСЬ 2) в обоих экземплярах.</w:t>
      </w:r>
    </w:p>
    <w:p>
      <w:pPr>
        <w:keepNext w:val="0"/>
        <w:spacing w:after="120" w:before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111111"/>
          <w:sz w:val="22"/>
        </w:rPr>
        <w:t>2.3. Дополнительные работы выполняются только после согласования с Заказчиком. Согласование фиксируется в разделе заказ-наряда «Лист осмотра (дефектовки) и согласования дополнительных работ» с указанием даты, времени, способа обращения и содержания ответа; аудиозаписи, скриншоты сообщений и письма приобщаются к делу заказ-наряда.</w:t>
      </w:r>
    </w:p>
    <w:p>
      <w:pPr>
        <w:keepNext w:val="0"/>
        <w:spacing w:after="120" w:before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111111"/>
          <w:sz w:val="22"/>
        </w:rPr>
        <w:t>2.4. При приёме автомототранспортного средства проверяются документ, удостоверяющий личность Заказчика, и документы о праве собственности либо праве пользования (пункт 8 Правил № 780). Водительское удостоверение документом, удостоверяющим личность, не является. Документы Заказчика не изымаются и не удерживаются; необходимые сведения переписываются в заказ-наряд.</w:t>
      </w:r>
    </w:p>
    <w:p>
      <w:pPr>
        <w:keepNext w:val="0"/>
        <w:spacing w:after="120" w:before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111111"/>
          <w:sz w:val="22"/>
        </w:rPr>
        <w:t>2.5. Текст согласия на обработку персональных данных не включается в договор и заказ-наряд и оформляется отдельным документом (часть 1 статьи 9 Федерального закона № 152-ФЗ). Обработка персональных данных, необходимая для исполнения договора, осуществляется без согласия Заказчика.</w:t>
      </w:r>
    </w:p>
    <w:p>
      <w:pPr>
        <w:keepNext w:val="0"/>
        <w:spacing w:after="120" w:before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111111"/>
          <w:sz w:val="22"/>
        </w:rPr>
        <w:t>2.6. Дела по обращениям (заказ-наряды, фотоматериалы, переписка по согласованиям, копии кассовых чеков) формируются и хранятся не менее срока исковой давности, но не менее пяти лет.</w:t>
      </w:r>
    </w:p>
    <w:p>
      <w:pPr>
        <w:keepNext w:val="0"/>
        <w:spacing w:after="120" w:before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111111"/>
          <w:sz w:val="22"/>
        </w:rPr>
        <w:t>2.7. Программный помощник (искусственный интеллект) применяется исключительно для предварительного заполнения полей форм в соответствии с приложением к Регламенту. Юридически значимые действия совершает только работник; перед печатью документ проверяется и подписывается работником, оформившим заказ-наряд.</w:t>
      </w:r>
    </w:p>
    <w:p>
      <w:pPr>
        <w:keepNext w:val="0"/>
        <w:spacing w:after="120" w:before="20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color w:val="111111"/>
          <w:sz w:val="22"/>
        </w:rPr>
        <w:t>3. Отмена ранее применявшихся форм</w:t>
      </w:r>
    </w:p>
    <w:p>
      <w:pPr>
        <w:keepNext w:val="0"/>
        <w:spacing w:after="120" w:before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111111"/>
          <w:sz w:val="22"/>
        </w:rPr>
        <w:t>3.1. С даты, указанной в пункте 1.1 настоящего приказа, признать не подлежащими применению ранее утверждённые формы: договор с физическим лицом, договор с юридическим лицом или индивидуальным предпринимателем в предыдущей редакции, заказ-наряд, приёмо-сдаточный акт, акт осмотра (дефектовки), акт согласования дополнительных работ, акт приёма-передачи запасных частей Заказчика, акт сдачи-приёмки выполненных работ, гарантийный талон, чек-лист приёма и выдачи. Ранее изданные приказы об утверждении форм документов отсутствуют.</w:t>
      </w:r>
    </w:p>
    <w:p>
      <w:pPr>
        <w:keepNext w:val="0"/>
        <w:spacing w:after="120" w:before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111111"/>
          <w:sz w:val="22"/>
        </w:rPr>
        <w:t>3.2. Договоры и заказ-наряды, заключённые до даты введения новых форм, исполняются на ранее согласованных условиях; изменение их условий оформляется дополнительным соглашением.</w:t>
      </w:r>
    </w:p>
    <w:p>
      <w:pPr>
        <w:keepNext w:val="0"/>
        <w:spacing w:after="120" w:before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111111"/>
          <w:sz w:val="22"/>
        </w:rPr>
        <w:t>3.3. Бланки прежних форм из зоны приёма изъять и уничтожить (утилизировать) до «20» августа 2026 г.</w:t>
      </w:r>
    </w:p>
    <w:p>
      <w:pPr>
        <w:keepNext w:val="0"/>
        <w:spacing w:after="120" w:before="20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color w:val="111111"/>
          <w:sz w:val="22"/>
        </w:rPr>
        <w:t>4. Ответственные лица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111111"/>
                <w:sz w:val="19"/>
              </w:rPr>
              <w:t>Мероприятие</w:t>
            </w:r>
          </w:p>
        </w:tc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111111"/>
                <w:sz w:val="19"/>
              </w:rPr>
              <w:t>Ответственный (должность, Ф. И. О.)</w:t>
            </w:r>
          </w:p>
        </w:tc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111111"/>
                <w:sz w:val="19"/>
              </w:rPr>
              <w:t>Срок</w:t>
            </w:r>
          </w:p>
        </w:tc>
      </w:tr>
      <w:tr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Печать и обеспечение бланками (не менее 20 комплектов каждой формы)</w:t>
            </w:r>
          </w:p>
        </w:tc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ИП Безматерных Р.П.</w:t>
            </w:r>
          </w:p>
        </w:tc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до «20» августа 2026 г.</w:t>
            </w:r>
          </w:p>
        </w:tc>
      </w:tr>
      <w:tr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Размещение Договора-оферты и прейскуранта в уголке потребителя и на сайте</w:t>
            </w:r>
          </w:p>
        </w:tc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ИП Безматерных Р.П.</w:t>
            </w:r>
          </w:p>
        </w:tc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до «20» августа 2026 г.</w:t>
            </w:r>
          </w:p>
        </w:tc>
      </w:tr>
      <w:tr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Ознакомление работников с приказом, формами и Регламентом</w:t>
            </w:r>
          </w:p>
        </w:tc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ИП Безматерных Р.П.</w:t>
            </w:r>
          </w:p>
        </w:tc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до «20» августа 2026 г.</w:t>
            </w:r>
          </w:p>
        </w:tc>
      </w:tr>
      <w:tr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Настройка программного помощника и учётной программы</w:t>
            </w:r>
          </w:p>
        </w:tc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ИП Безматерных Р.П.</w:t>
            </w:r>
          </w:p>
        </w:tc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до «20» августа 2026 г.</w:t>
            </w:r>
          </w:p>
        </w:tc>
      </w:tr>
      <w:tr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Контроль правильности оформления документов (выборочно, ежемесячно)</w:t>
            </w:r>
          </w:p>
        </w:tc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ИП Безматерных Р.П.</w:t>
            </w:r>
          </w:p>
        </w:tc>
        <w:tc>
          <w:tcPr>
            <w:tcW w:type="dxa" w:w="3307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постоянно</w:t>
            </w:r>
          </w:p>
        </w:tc>
      </w:tr>
    </w:tbl>
    <w:p>
      <w:pPr>
        <w:keepNext w:val="0"/>
        <w:spacing w:after="120" w:before="20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color w:val="111111"/>
          <w:sz w:val="22"/>
        </w:rPr>
        <w:t>5. Ознакомление работников</w:t>
      </w:r>
    </w:p>
    <w:p>
      <w:pPr>
        <w:keepNext w:val="0"/>
        <w:spacing w:after="120" w:before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111111"/>
          <w:sz w:val="22"/>
        </w:rPr>
        <w:t>5.1. Настоящий приказ, утверждённые им формы документов и Регламент являются локальными нормативными актами, непосредственно связанными с трудовой деятельностью работников. В соответствии со статьями 8, 22 и 68 Трудового кодекса Российской Федерации ознакомить с ними под подпись всех работников, занятых приёмом заказов, оформлением документов, выполнением и выдачей работ, в срок до «20» августа 2026 г.</w:t>
      </w:r>
    </w:p>
    <w:p>
      <w:pPr>
        <w:keepNext w:val="0"/>
        <w:spacing w:after="120" w:before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111111"/>
          <w:sz w:val="22"/>
        </w:rPr>
        <w:t>5.2. Ознакомление подтверждается подписями работников в листе ознакомления (приложение к настоящему приказу). Лист ознакомления хранится вместе с приказом.</w:t>
      </w:r>
    </w:p>
    <w:p>
      <w:pPr>
        <w:keepNext w:val="0"/>
        <w:spacing w:after="120" w:before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111111"/>
          <w:sz w:val="22"/>
        </w:rPr>
        <w:t>5.3. Работников, принимаемых на работу после издания настоящего приказа, знакомить с приказом, формами документов и Регламентом под подпись до подписания трудового договора (часть 3 статьи 68 Трудового кодекса Российской Федерации).</w:t>
      </w:r>
    </w:p>
    <w:p>
      <w:pPr>
        <w:keepNext w:val="0"/>
        <w:spacing w:after="120" w:before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111111"/>
          <w:sz w:val="22"/>
        </w:rPr>
        <w:t>5.4. Применение неутверждённых форм, самостоятельное изменение формулировок утверждённых документов, приём автомототранспортного средства в работу без подписанного Заказчиком заказ-наряда и выполнение дополнительных работ без согласования не допускаются. Неисполнение настоящего приказа является нарушением трудовых обязанностей и влечёт ответственность, предусмотренную статьями 192 и 193 Трудового кодекса Российской Федерации; возмещение причинённого ущерба производится в порядке главы 39 Трудового кодекса Российской Федерации.</w:t>
      </w:r>
    </w:p>
    <w:p>
      <w:pPr>
        <w:keepNext/>
        <w:spacing w:after="120" w:before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111111"/>
          <w:sz w:val="22"/>
        </w:rPr>
        <w:t>5.5. Общий контроль исполнения приказа оставляю за собой.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after="40" w:before="280" w:line="276" w:lineRule="auto"/>
              <w:ind w:firstLine="0"/>
              <w:jc w:val="left"/>
              <w:keepLines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22"/>
              </w:rPr>
              <w:t>Индивидуальный предприниматель</w:t>
            </w:r>
          </w:p>
          <w:p>
            <w:pPr>
              <w:keepNext w:val="0"/>
              <w:spacing w:after="40" w:before="0" w:line="276" w:lineRule="auto"/>
              <w:ind w:firstLine="0"/>
              <w:jc w:val="left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111111"/>
                <w:sz w:val="22"/>
              </w:rPr>
              <w:t>________________________ / Безматерных Р.П. /</w:t>
            </w:r>
          </w:p>
          <w:p>
            <w:pPr>
              <w:keepNext w:val="0"/>
              <w:spacing w:after="0" w:before="0" w:line="276" w:lineRule="auto"/>
              <w:ind w:firstLine="0"/>
              <w:jc w:val="left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555555"/>
                <w:sz w:val="18"/>
              </w:rPr>
              <w:t>(подпись)                              (Ф. И. О.)</w:t>
            </w:r>
          </w:p>
        </w:tc>
      </w:tr>
    </w:tbl>
    <w:p>
      <w:r>
        <w:br w:type="page"/>
      </w:r>
    </w:p>
    <w:p>
      <w:pPr>
        <w:keepNext w:val="0"/>
        <w:spacing w:after="160" w:before="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555555"/>
          <w:sz w:val="19"/>
        </w:rPr>
        <w:t>Приложение к приказу № 1 от «15» августа 2026 г.</w:t>
      </w:r>
    </w:p>
    <w:p>
      <w:pPr>
        <w:keepNext w:val="0"/>
        <w:spacing w:after="40" w:before="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color w:val="111111"/>
          <w:sz w:val="26"/>
        </w:rPr>
        <w:t>ЛИСТ ОЗНАКОМЛЕНИЯ</w:t>
      </w:r>
    </w:p>
    <w:p>
      <w:pPr>
        <w:keepNext w:val="0"/>
        <w:spacing w:after="200" w:before="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color w:val="111111"/>
          <w:sz w:val="21"/>
        </w:rPr>
        <w:t>с приказом о введении в действие форм документов, утверждёнными формами</w:t>
        <w:br/>
        <w:t>и Регламентом работы мастера-приёмщика и администратора</w:t>
      </w:r>
    </w:p>
    <w:p>
      <w:pPr>
        <w:keepNext w:val="0"/>
        <w:spacing w:after="120" w:before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111111"/>
          <w:sz w:val="22"/>
        </w:rPr>
        <w:t>Ознакомлен(а) с приказом № 1 от «15» августа 2026 г., формами документов, утверждёнными пунктом 1.1 приказа, и Регламентом работы мастера-приёмщика и администратора станции технического обслуживания с приложениями. Порядок оформления документов, требования к проверке документов Заказчика и порядок согласования дополнительных работ мне разъяснены и понятны.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111111"/>
                <w:sz w:val="19"/>
              </w:rPr>
              <w:t>№</w:t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111111"/>
                <w:sz w:val="19"/>
              </w:rPr>
              <w:t>Должность</w:t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111111"/>
                <w:sz w:val="19"/>
              </w:rPr>
              <w:t>Фамилия, имя, отчество</w:t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111111"/>
                <w:sz w:val="19"/>
              </w:rPr>
              <w:t>Дата ознакомления</w:t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111111"/>
                <w:sz w:val="19"/>
              </w:rPr>
              <w:t>Подпись</w:t>
            </w:r>
          </w:p>
        </w:tc>
      </w:tr>
      <w:tr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1</w:t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2</w:t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3</w:t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4</w:t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5</w:t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6</w:t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7</w:t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8</w:t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9</w:t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  <w:t>10</w:t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</w:r>
          </w:p>
        </w:tc>
        <w:tc>
          <w:tcPr>
            <w:tcW w:type="dxa" w:w="1984"/>
            <w:tcBorders>
              <w:top w:val="single" w:sz="8" w:color="111111"/>
              <w:left w:val="single" w:sz="8" w:color="111111"/>
              <w:bottom w:val="single" w:sz="8" w:color="111111"/>
              <w:right w:val="single" w:sz="8" w:color="111111"/>
            </w:tcBorders>
          </w:tcPr>
          <w:p>
            <w:pPr>
              <w:keepNext w:val="0"/>
              <w:spacing w:after="40" w:before="40" w:line="264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19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after="40" w:before="240" w:line="276" w:lineRule="auto"/>
              <w:ind w:firstLine="0"/>
              <w:jc w:val="left"/>
              <w:keepLines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111111"/>
                <w:sz w:val="22"/>
              </w:rPr>
              <w:t>Лист ознакомления составил: индивидуальный предприниматель / Безматерных Р.П. /</w:t>
            </w:r>
          </w:p>
          <w:p>
            <w:pPr>
              <w:keepNext w:val="0"/>
              <w:spacing w:after="160" w:before="0" w:line="276" w:lineRule="auto"/>
              <w:ind w:firstLine="0"/>
              <w:jc w:val="left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555555"/>
                <w:sz w:val="18"/>
              </w:rPr>
              <w:t>(должность, подпись)                     (Ф. И. О.)</w:t>
            </w:r>
          </w:p>
        </w:tc>
      </w:tr>
    </w:tbl>
    <w:p>
      <w:pPr>
        <w:keepNext w:val="0"/>
        <w:spacing w:after="80" w:before="0" w:line="276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555555"/>
          <w:sz w:val="18"/>
        </w:rPr>
        <w:t>Ознакомление работников с локальными нормативными актами под подпись предусмотрено статьями 8, 22 и 68 Трудового кодекса Российской Федерации. Работник, не ознакомленный с локальным нормативным актом под подпись, не может быть привлечён к ответственности за его неисполнение.</w:t>
      </w:r>
    </w:p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