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0" w:line="276" w:lineRule="auto"/>
        <w:ind w:firstLine="0"/>
        <w:jc w:val="center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ИНДИВИДУАЛЬНЫЙ ПРЕДПРИНИМАТЕЛЬ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276" w:lineRule="auto"/>
        <w:ind w:firstLine="0"/>
        <w:jc w:val="center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4"/>
          <w:szCs w:val="24"/>
          <w:rtl w:val="0"/>
        </w:rPr>
        <w:t xml:space="preserve">Безматерных Роман Павлович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0" w:line="276" w:lineRule="auto"/>
        <w:ind w:firstLine="0"/>
        <w:jc w:val="center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555555"/>
          <w:sz w:val="22"/>
          <w:szCs w:val="22"/>
          <w:rtl w:val="0"/>
        </w:rPr>
        <w:t xml:space="preserve">ОГРНИП 322237500133521  ·  ИНН 231215603728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0" w:line="276" w:lineRule="auto"/>
        <w:ind w:firstLine="0"/>
        <w:jc w:val="center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555555"/>
          <w:sz w:val="22"/>
          <w:szCs w:val="22"/>
          <w:rtl w:val="0"/>
        </w:rPr>
        <w:t xml:space="preserve">адрес регистрации: 350000, г. Краснодар, ул. Селезнева, д. 84, кв. 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276" w:lineRule="auto"/>
        <w:ind w:firstLine="0"/>
        <w:jc w:val="center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555555"/>
          <w:sz w:val="22"/>
          <w:szCs w:val="22"/>
          <w:rtl w:val="0"/>
        </w:rPr>
        <w:t xml:space="preserve">адрес СТО: г. Москва, Можайское шоссе, вл. 167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="276" w:lineRule="auto"/>
        <w:ind w:firstLine="0"/>
        <w:jc w:val="righ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УТВЕРЖДАЮ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="276" w:lineRule="auto"/>
        <w:ind w:firstLine="0"/>
        <w:jc w:val="righ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ИП Безматерных Роман Павлович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0" w:line="276" w:lineRule="auto"/>
        <w:ind w:firstLine="0"/>
        <w:jc w:val="righ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________________ / Безматерных Р.П.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="276" w:lineRule="auto"/>
        <w:ind w:firstLine="0"/>
        <w:jc w:val="righ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555555"/>
          <w:sz w:val="22"/>
          <w:szCs w:val="22"/>
          <w:rtl w:val="0"/>
        </w:rPr>
        <w:t xml:space="preserve">(подпись)                    (Ф. И. 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0" w:line="276" w:lineRule="auto"/>
        <w:ind w:firstLine="0"/>
        <w:jc w:val="righ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Приказ № 1 от «15» августа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="276" w:lineRule="auto"/>
        <w:ind w:firstLine="0"/>
        <w:jc w:val="center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8"/>
          <w:szCs w:val="28"/>
          <w:rtl w:val="0"/>
        </w:rPr>
        <w:t xml:space="preserve">РЕГЛАМЕНТ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0" w:line="276" w:lineRule="auto"/>
        <w:ind w:firstLine="0"/>
        <w:jc w:val="center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4"/>
          <w:szCs w:val="24"/>
          <w:rtl w:val="0"/>
        </w:rPr>
        <w:t xml:space="preserve">работы мастера-приёмщика и администратора станции технического обслуживания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0" w:line="276" w:lineRule="auto"/>
        <w:ind w:firstLine="0"/>
        <w:jc w:val="center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4"/>
          <w:szCs w:val="24"/>
          <w:rtl w:val="0"/>
        </w:rPr>
        <w:t xml:space="preserve">по заключению договоров и оформлению документов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200" w:line="230.39999999999998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1. 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1.1. Регламент определяет порядок действий мастера-приёмщика и администратора при приёме обращения клиента, заключении договора, оформлении, подписании, хранении и выдаче документов.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1.2. Регламент разработан в соответствии с главой 37 Гражданского кодекса РФ, Законом РФ «О защите прав потребителей» от 07.02.1992 № 2300-1, Правилами оказания услуг (выполнения работ) по техническому обслуживанию и ремонту автомототранспортных средств, утв. постановлением Правительства РФ от 29.05.2025 № 780 (далее по тексту - Правила № 780), Федеральным законом «О применении контрольно-кассовой техники при осуществлении расчетов в Российской Федерации» от 22.05.2003 № 54-ФЗ и Федеральным законом «О персональных данных» от 27.07.2006 № 152-ФЗ.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1.3. На СТО применяются формы, утверждённые приказом ИП: Договор-оферта на ТО и ремонт АМТС (для физических лиц); единый заказ-наряд полного цикла для физических лиц; Договор на ТО и ремонт с юридическим лицом или ИП; единый заказ-наряд полного цикла для юридических лиц и ИП; акт о неявке Заказчика за АМТС; согласие на обработку персональных данных. Единый заказ-наряд включает приёмо-сдаточный акт (акт приёма-передачи), лист осмотра (дефектовки) и согласования дополнительных работ, акт сдачи-приёмки выполненных работ и гарантийный талон - отдельные акты не составляются. Формы изменяются только приказом ИП; самостоятельная правка формулировок работниками не допускается.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1.4. Ключевое правило: НЕТ ПОДПИСАННОГО ДОКУМЕНТА - НЕТ РАБОТ. Автомобиль не принимается в работу до подписания сторонами заказ-наряда и приёмо-сдаточного акта.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Практика: при споре именно исполнитель доказывает согласованный объём работ, состояние автомобиля на момент приёма и отсутствие своей вины (п. 28 постановления Пленума Верховного Суда РФ от 28.06.2012 № 17, п. 4 ст. 29 Закона о защите прав потребителей).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200" w:line="230.39999999999998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2. Подготовка рабочего места (ежедневно, до открытия)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2.1. Администратор проверяет наличие в зоне приёма («уголок потребителя») и в открытом доступе на сайте: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- сведений об ИП: Ф. И. О., ОГРНИП, ИНН, адрес, режим работы;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- перечня оказываемых услуг и цен (прейскурант с датой утверждения);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- сроков оказания услуг и гарантийных сроков, установленных исполнителем;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- образцов договора, заказ-наряда и приёмо-сдаточного акта;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- текста Правил № 780 и Закона о защите прав потребителей;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- сведений о льготных категориях граждан, обслуживаемых вне очереди (при наличии);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- контактов территориального органа Роспотребнадзора.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2.2. Проверяются: работоспособность ККТ и наличие чековой ленты, заряд фотоаппарата (смартфона) для фотофиксации, запас бланков (не менее 20 комплектов каждой формы), исправность принтера.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2.3. Прейскурант, размещённый на стенде, и прейскурант в учётной программе должны совпадать. Расхождение - основание не начинать приём до устранения.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200" w:line="230.39999999999998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3. Приём клиента - физического лица (потребителя)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3.1. Установить личность: попросить паспорт или иной документ, удостоверяющий личность, и документ о праве собственности (пользования) на автомобиль - СТС, ПТС, договор аренды, доверенность. Документы переписываются в договор и НЕМЕДЛЕННО возвращаются клиенту; изымать и удерживать документы запрещено (п. 8 Правил № 780).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3.2. Если автомобиль сдаёт не собственник - указать в договоре, на каком основании клиент распоряжается автомобилем, и зафиксировать данные собственника. Для юридического лица - собственника требуется доверенность.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3.3. Устно и через стенд довести до клиента: перечень работ, цену, сроки, гарантийные сроки, порядок оплаты. Ответить на все вопросы до подписания.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3.4. Провести совместный осмотр автомобиля с клиентом и оформить приёмо-сдаточный акт: комплектность, все видимые повреждения, пробег, уровень топлива, оставленные личные вещи. Обязательно предложить клиенту забрать ценные вещи и документы из салона.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3.5. Сделать не менее 12 фотографий: 4 угла кузова, крыша, все стёкла, салон, багажник, панель приборов с показаниями одометра и уровнем топлива, отдельно - каждое зафиксированное повреждение. Дата и время на фото должны быть включены. Файлы в тот же день сохраняются в папку заказ-наряда.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3.6. Оформить заказ-наряд: работы по позициям, нормо-часы, запасные части с артикулами, цены, вид сметы (твёрдая или приблизительная), сроки начала и окончания, гарантийные сроки.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3.7. Обязательно заполнить раздел о порядке согласования дополнительных работ и получить отметку клиента о выбранном варианте и его контакт для связи. Пустой раздел - грубое нарушение.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3.8. Если клиент привёз свои запасные части - заполнить раздел заказ-наряда «Запасные части и материалы Заказчика» с описью, графой о подтверждении соответствия и обязательным предупреждением об особых свойствах деталей (п. 26 Правил № 780).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3.9. Если выявлены неисправности, угрожающие безопасности движения, а клиент отказывается их устранять - внести запись об этом во ВСЕ экземпляры заказ-наряда и получить подпись клиента (п. 21 Правил № 780).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3.10. Выдать клиенту его экземпляр заказ-наряда сразу после подписания разделов, заполняемых при приёме (ПОДПИСЬ 1). Отметка о выдаче - подпись клиента в экземпляре 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3.11. При услугах, оказываемых в присутствии клиента (мойка, шиномонтаж, диагностика, замена масла без оставления автомобиля), допускается оформление квитанцией, талоном или кассовым чеком с указанием услуги, цены и данных автомобиля; приёмо-сдаточный акт в этом случае не требуется (п. 9, 12 Правил № 780).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200" w:line="230.39999999999998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4. Приём клиента - юридического лица или индивидуального предпринимателя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4.1. Проверить полномочия представителя: доверенность (оригинал либо заверенная копия) или приказ о назначении руководителя. Копия приобщается к заказ-наряду. Без подтверждённых полномочий документы не подписываются (ст. 182–183 ГК РФ).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4.2. Проверить контрагента по открытым сервисам ФНС и приобщить распечатку (см. раздел 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4.3. Для постоянных клиентов заключается рамочный договор, конкретные работы согласуются заказ-нарядами (заявками).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4.4. Наличные расчёты с юридическим лицом или ИП по одному договору не могут превышать 100 000 рублей за весь срок его действия - независимо от количества платежей (п. 4 Указания Банка России от 09.12.2019 № 5348-У). Свыше - только безналичный расчёт. Дробить сумму на несколько чеков по одному договору запрещено: штраф по ч. 1 ст. 15.1 КоАП РФ для ИП - от 4 000 до 5 000 рублей.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4.5. Отсрочка платежа предоставляется только с письменного разрешения ИП. По умолчанию автомобиль выдаётся после полной оплаты (п. 23 Правил № 780).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4.6. Акт сдачи-приёмки выполненных работ оформляется в двух экземплярах и подписывается уполномоченным лицом с расшифровкой подписи и печатью (при наличии).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200" w:line="230.39999999999998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5. Общие правила заполнения документов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5.1. Заполняются все поля. Незаполненные строки и таблицы перечёркиваются знаком «Z» или прочерком. Оставлять пустые строки над подписью клиента запрещено.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5.2. Заполнение - шариковой ручкой синего цвета или машинописно. Карандаш, корректор, стирание не допускаются.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5.3. Исправление вносится зачёркиванием одной чертой с надписью «Исправленному верить» и подписями обеих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5.4. Формулировки «диагностика», «ремонт двигателя», «прочие работы» без расшифровки запрещены. Каждая работа называется конкретно; каждая деталь указывается с артикулом и производителем.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5.5. Все суммы указываются с копейками, итог дублируется прописью.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5.6. Каждый документ составляется в двух экземплярах, подписывается обеими сторонами; один экземпляр передаётся клиенту.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5.7. Согласие на обработку персональных данных оформляется ТОЛЬКО отдельным документом. Включать его текст в договор или заказ-наряд запрещено (ч. 1 ст. 9 Федерального Закона «О персональных данных» № 152-ФЗ в редакции с 01.09.2025).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5.8. Электронная переписка с клиентом (согласование дополнительных работ, уведомление о готовности) ведётся только с рабочего номера и почты СТО; скриншоты сохраняются и распечатываются в дело заказ-наряда.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200" w:line="230.39999999999998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6. Дополнительные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6.1. При обнаружении неисправности, не указанной в заказ-наряде, работы по ней НЕ НАЧИНАЮТСЯ. Мастер немедленно уведомляет клиента (п. 14 Правил № 780, ст. 716 ГК РФ).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6.2. Согласие фиксируется актом согласования дополнительных работ либо письменным сообщением клиента с его номера или адреса; сообщение сохраняется. Устного согласия по телефону недостаточно - после звонка направляется сообщение с перечнем и стоимостью и запрашивается ответ «согласен».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6.3. Дополнительные работы, выполненные без согласия клиента, оплате не подлежат и списываются на убыток СТО с последующим разбором с виновным работником (ст. 731 ГК РФ, п. 7 ч. 2 ст. 16 Закона о защите прав потребителей).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6.4. Если клиент отказался от дополнительных работ - зафиксировать отказ и разъяснённые последствия в акте.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200" w:line="230.39999999999998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7. Выдача автомобиля и расчёты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7.1. До вызова клиента мастер проводит контроль полноты и качества выполненных работ, проверяет исправность узлов, подвергшихся ремонту, комплектность и чистоту автомобиля (п. 24 Правил № 780).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7.2. Автомобиль выдаётся после полной оплаты, при предъявлении экземпляра заказ-наряда и документа, удостоверяющего личность (п. 23 Правил № 780).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7.3. Кассовый чек пробивается на каждый расчёт, включая аванс и возврат. Чек передаётся клиенту в момент расчёта (Федеральный закон № 54-ФЗ).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7.4. Приёмка проводится совместно с клиентом. Все выявленные при приёмке недостатки записываются в раздел заказ-наряда «Акт сдачи-приёмки выполненных работ» с указанием срока безвозмездного устранения (п. 25 Правил № 780).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7.5. Заменённые детали предъявляются клиенту и передаются ему либо утилизируются по его отметке в заказ-наряде.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7.6. Заполняется раздел заказ-наряда «Гарантийный талон»; клиенту разъясняются правила эксплуатации после ремонта (обкатка, момент протяжки, контрольный визит), что фиксируется в заказ-наряде и подтверждается ПОДПИСЬЮ 2 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7.7. Если клиент не забирает автомобиль - направить письменное уведомление, а по истечении срока составить акт о неявке. Плата за хранение начисляется только при наличии соответствующего условия в договоре (заказ-наряде).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7.8. Удержание автомобиля допускается только при неоплате фактически выполненных согласованных работ и только по письменному решению ИП. Удерживать автомобиль при споре о качестве, при просрочке по вине СТО или ради оплаты несогласованных сумм - запрещено.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200" w:line="230.39999999999998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8. Претензии и гарантийные обращения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8.1. Любая претензия принимается в письменном виде, регистрируется в журнале входящих в день поступления; клиенту выдаётся копия с отметкой о принятии (дата, подпись, Ф. И. О. принявшего). Отказ в приёме претензии запрещён.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8.2. Претензия в тот же день передаётся ИП. Ответ даётся в срок не более 10 календарных дней по денежным требованиям (ст. 22, 31 Закона о защите прав потребителей). Просрочка влечёт неустойку 3 % в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8.3. При споре о причинах недостатка экспертизу организует и оплачивает СТО (п. 27 Правил № 780). Клиент вправе присутствовать при её проведении.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8.4. При гарантийном обращении оформляется отметка в гарантийном талоне и новый заказ-наряд с нулевой стоимостью и пометкой «гарантийный ремонт».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8.5. Работникам запрещено самостоятельно признавать вину СТО, обещать выплаты, обсуждать спор в мессенджерах и социальных сетях.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200" w:line="230.39999999999998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9. Персональные данные и хранение документов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9.1. Данные, необходимые для заключения и исполнения договора, обрабатываются без отдельного согласия (п. 5 ч. 1 ст. 6 Федерального закона № 152-ФЗ). Для рассылок, рекламы, публикации фотографий и передачи данных третьим лицам согласие обязательно и оформляется отдельным документом.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9.2. Копии паспортов клиентов не снимаются и не хранятся, если это не требуется по закону.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9.3. Подписанные документы хранятся в деле заказ-наряда вместе с фотоматериалами и перепиской. Срок хранения - не менее 5 лет (бухгалтерская первичка), для документов, связанных со спорами и гарантией, - не менее 3 лет после истечения гарантийного срока.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9.4. Документы хранятся в запираемом шкафу; доступ имеют ИП, администратор и бухгалтер.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200" w:line="230.39999999999998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10. Проверка контрагента: налоговая (коммерческая) осмотрительность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10.1. Должная (коммерческая) осмотрительность в налоговом смысле относится к тем, У КОГО СТО ПОКУПАЕТ, - к поставщикам запасных частей, материалов, арендодателям, подрядчикам, самозанятым. Именно по этим сделкам налоговый орган снимает расходы и вычеты, если контрагент окажется «технической компанией» (ст. 54.1 НК РФ, письмо ФНС России от 10.03.2021 № БВ-4-7/3060@, постановление Пленума ВАС РФ от 12.10.2006 № 53). - сервис подключен проверяет юрист.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10.2. По КЛИЕНТАМ - покупателям услуг СТО - налоговая осмотрительность законом не требуется: выручка отражается в доходах независимо от статуса клиента, вычетов и расходов по ним не заявляется. Отдельная проверка клиента-физического лица не проводится никогда: достаточно предъявленного документа, удостоверяющего личность.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10.3. Клиента - юридическое лицо или ИП всё же проверяют, но по КОММЕРЧЕСКИМ, а не налоговым основаниям - чтобы подтвердить реальность сделки и полномочия подписанта, оценить риск неоплаты при отсрочке и не получить вопросы банка о происхождении платежа. Минимальный объём проверки (занимает 5–10 минут, бесплатно):</w:t>
      </w: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Ind w:w="35.0" w:type="dxa"/>
        <w:tblLayout w:type="fixed"/>
        <w:tblLook w:val="0400"/>
      </w:tblPr>
      <w:tblGrid>
        <w:gridCol w:w="2805"/>
        <w:gridCol w:w="3975"/>
        <w:gridCol w:w="3075"/>
        <w:tblGridChange w:id="0">
          <w:tblGrid>
            <w:gridCol w:w="2805"/>
            <w:gridCol w:w="3975"/>
            <w:gridCol w:w="30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058">
            <w:pPr>
              <w:spacing w:after="120" w:before="200" w:line="230.39999999999998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Что проверяем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059">
            <w:pPr>
              <w:spacing w:after="120" w:before="200" w:line="230.39999999999998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Где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05A">
            <w:pPr>
              <w:spacing w:after="120" w:before="200" w:line="230.39999999999998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Что приобщаем к делу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05B">
            <w:pPr>
              <w:spacing w:after="120" w:before="200" w:line="230.39999999999998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Регистрация, статус, адрес, руководитель, ОКВЭД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05C">
            <w:pPr>
              <w:spacing w:after="120" w:before="200" w:line="230.39999999999998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Сервис ФНС «Прозрачный бизнес» и ЕГРЮЛ/ЕГРИП (egrul.nalog.ru, pb.nalog.ru)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05D">
            <w:pPr>
              <w:spacing w:after="120" w:before="200" w:line="230.39999999999998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Выписка или скриншот с датой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05E">
            <w:pPr>
              <w:spacing w:after="120" w:before="200" w:line="230.39999999999998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Полномочия подписанта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05F">
            <w:pPr>
              <w:spacing w:after="120" w:before="200" w:line="230.39999999999998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Устав, приказ, доверенность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060">
            <w:pPr>
              <w:spacing w:after="120" w:before="200" w:line="230.39999999999998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Копия доверенности или приказа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061">
            <w:pPr>
              <w:spacing w:after="120" w:before="200" w:line="230.39999999999998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Банкротство и ликвидация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062">
            <w:pPr>
              <w:spacing w:after="120" w:before="200" w:line="230.39999999999998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Федресурс (fedresurs.ru), ЕФРСБ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063">
            <w:pPr>
              <w:spacing w:after="120" w:before="200" w:line="230.39999999999998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Скриншот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064">
            <w:pPr>
              <w:spacing w:after="120" w:before="200" w:line="230.39999999999998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Судебные споры и долги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065">
            <w:pPr>
              <w:spacing w:after="120" w:before="200" w:line="230.39999999999998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kad.arbitr.ru, ФССП (fssp.gov.ru)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066">
            <w:pPr>
              <w:spacing w:after="120" w:before="200" w:line="230.39999999999998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Скриншот (при отсрочке платежа)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067">
            <w:pPr>
              <w:spacing w:after="120" w:before="200" w:line="230.39999999999998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Дисквалификация руководителя, массовый адрес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068">
            <w:pPr>
              <w:spacing w:after="120" w:before="200" w:line="230.39999999999998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Реестры ФНС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069">
            <w:pPr>
              <w:spacing w:after="120" w:before="200" w:line="230.39999999999998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Скриншот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10.4. Проверка клиента-организации обязательна, если: предоставляется отсрочка платежа; сумма заказа превышает 100 000 рублей; заключается рамочный договор на обслуживание автопарка; расчёт производится третьим лицом за клиента; клиент требует комплект документов «задним числом» или без фактического ремонта (в таком запросе следует отказать).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10.5. Проверка ПОСТАВЩИКОВ запасных частей проводится в полном объёме и обязательна для ИП, применяющего общую систему налогообложения или уплачивающего НДС: помимо пунктов таблицы, оцениваются наличие ресурсов, сайта, деловой репутации, рыночность цены и способность реально поставить товар. Досье поставщика хранится не менее 5 лет.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10.6. При применении УСН «доходы» или патента налоговые вычеты не заявляются, поэтому объём проверки поставщиков определяется коммерческим риском, а не налоговым. Проверка клиентов и в этом случае не требуется.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10.7. Признаки, при которых заказ не оформляется без согласования с ИП: клиент отказывается предъявить документы на автомобиль; просит не пробивать чек или оформить документы на другое лицо; предлагает оплату наличными свыше лимита; настаивает на выдаче автомобиля без подписания акта.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Автосервис не относится к организациям, обязанным осуществлять внутренний контроль по Федеральному закону от 07.08.2001 № 115-ФЗ, поэтому идентификация клиентов по «антиотмывочным» правилам на СТО не проводится.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200" w:line="230.39999999999998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11. Ответственность работников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11.1. Мастер-приёмщик отвечает за полноту и достоверность приёмо-сдаточного акта, фотофиксацию, детализацию заказ-наряда и своевременное согласование дополнительных работ.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11.2. Администратор отвечает за комплектность пакета документов, выдачу экземпляров клиенту, применение ККТ, регистрацию претензий и хранение дел.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11.3. Убытки, возникшие из-за неоформленных или неполно оформленных документов (несогласованные работы, недоказуемое повреждение, неустойка за просрочку), рассматриваются как прямой действительный ущерб в порядке главы 39 Трудового кодекса РФ.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200" w:line="230.39999999999998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11.4. Регламент доводится до работников под подпись; лист ознакомления хранится у ИП.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pageBreakBefore w:val="1"/>
        <w:spacing w:after="120" w:before="0" w:line="276" w:lineRule="auto"/>
        <w:ind w:firstLine="0"/>
        <w:jc w:val="center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4"/>
          <w:szCs w:val="24"/>
          <w:rtl w:val="0"/>
        </w:rPr>
        <w:t xml:space="preserve">Лист ознакомления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120" w:before="0" w:line="276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С Регламентом работы мастера-приёмщика и администратора, утверждённым приказом № 1 от «15» августа 2026 г., ознакомлен(а). Порядок оформления документов мне разъяснён и понятен.</w:t>
      </w:r>
      <w:r w:rsidDel="00000000" w:rsidR="00000000" w:rsidRPr="00000000">
        <w:rPr>
          <w:rtl w:val="0"/>
        </w:rPr>
      </w:r>
    </w:p>
    <w:tbl>
      <w:tblPr>
        <w:tblStyle w:val="Table2"/>
        <w:tblW w:w="9750.000000000002" w:type="dxa"/>
        <w:jc w:val="left"/>
        <w:tblInd w:w="-115.0" w:type="dxa"/>
        <w:tblLayout w:type="fixed"/>
        <w:tblLook w:val="0400"/>
      </w:tblPr>
      <w:tblGrid>
        <w:gridCol w:w="510"/>
        <w:gridCol w:w="2381"/>
        <w:gridCol w:w="3628"/>
        <w:gridCol w:w="1360"/>
        <w:gridCol w:w="1871"/>
        <w:tblGridChange w:id="0">
          <w:tblGrid>
            <w:gridCol w:w="510"/>
            <w:gridCol w:w="2381"/>
            <w:gridCol w:w="3628"/>
            <w:gridCol w:w="1360"/>
            <w:gridCol w:w="1871"/>
          </w:tblGrid>
        </w:tblGridChange>
      </w:tblGrid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Ф. И. 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Подпись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33</w:t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pageBreakBefore w:val="1"/>
        <w:spacing w:after="12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4"/>
          <w:szCs w:val="24"/>
          <w:rtl w:val="0"/>
        </w:rPr>
        <w:t xml:space="preserve">Лист ознакомления (продолжение)</w:t>
      </w:r>
      <w:r w:rsidDel="00000000" w:rsidR="00000000" w:rsidRPr="00000000">
        <w:rPr>
          <w:rtl w:val="0"/>
        </w:rPr>
      </w:r>
    </w:p>
    <w:tbl>
      <w:tblPr>
        <w:tblStyle w:val="Table3"/>
        <w:tblW w:w="9750.000000000002" w:type="dxa"/>
        <w:jc w:val="left"/>
        <w:tblLayout w:type="fixed"/>
        <w:tblLook w:val="0400"/>
      </w:tblPr>
      <w:tblGrid>
        <w:gridCol w:w="510"/>
        <w:gridCol w:w="2381"/>
        <w:gridCol w:w="3628"/>
        <w:gridCol w:w="1360"/>
        <w:gridCol w:w="1871"/>
        <w:tblGridChange w:id="0">
          <w:tblGrid>
            <w:gridCol w:w="510"/>
            <w:gridCol w:w="2381"/>
            <w:gridCol w:w="3628"/>
            <w:gridCol w:w="1360"/>
            <w:gridCol w:w="1871"/>
          </w:tblGrid>
        </w:tblGridChange>
      </w:tblGrid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Ф. И. 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Подпись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120" w:before="280" w:line="276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Лист ознакомления составил: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40" w:before="0" w:line="276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______________________________ / Безматерных Р.П.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00" w:before="0" w:line="276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555555"/>
          <w:sz w:val="22"/>
          <w:szCs w:val="22"/>
          <w:rtl w:val="0"/>
        </w:rPr>
        <w:t xml:space="preserve">(должность, подпись)                         (Ф. И. 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60" w:before="0" w:line="276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555555"/>
          <w:sz w:val="22"/>
          <w:szCs w:val="22"/>
          <w:rtl w:val="0"/>
        </w:rPr>
        <w:t xml:space="preserve">Регламент подготовлен с учётом Правил, утв. постановлением Правительства РФ от 29.05.2025 № 780 (действуют с 01.09.2025), и актуальной судебной практики по спорам с автосервисами.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1"/>
        <w:keepLines w:val="1"/>
        <w:pageBreakBefore w:val="1"/>
        <w:spacing w:after="40" w:before="0" w:line="240" w:lineRule="auto"/>
        <w:ind w:firstLine="0"/>
        <w:jc w:val="righ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Приложение № 1 к Регламенту · бланк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1"/>
        <w:keepLines w:val="1"/>
        <w:spacing w:after="40" w:before="40" w:line="240" w:lineRule="auto"/>
        <w:ind w:firstLine="0"/>
        <w:jc w:val="center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ЧЕК-ЛИСТ ПРИЁМА И ВЫДАЧИ АВТОМОБИЛЯ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1"/>
        <w:keepLines w:val="1"/>
        <w:spacing w:after="80" w:before="0" w:line="240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Бланк. Заполняется на каждый заказ-наряд (каждый приём автомобиля) и приобщается к делу заказ-наряда № ________ от «____» __________ 20____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keepLines w:val="1"/>
        <w:spacing w:after="40" w:before="80" w:line="240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А. Приём автомобиля</w:t>
      </w:r>
      <w:r w:rsidDel="00000000" w:rsidR="00000000" w:rsidRPr="00000000">
        <w:rPr>
          <w:rtl w:val="0"/>
        </w:rPr>
      </w:r>
    </w:p>
    <w:tbl>
      <w:tblPr>
        <w:tblStyle w:val="Table4"/>
        <w:tblW w:w="9750.0" w:type="dxa"/>
        <w:jc w:val="left"/>
        <w:tblInd w:w="-115.0" w:type="dxa"/>
        <w:tblLayout w:type="fixed"/>
        <w:tblLook w:val="0400"/>
      </w:tblPr>
      <w:tblGrid>
        <w:gridCol w:w="390"/>
        <w:gridCol w:w="8625"/>
        <w:gridCol w:w="735"/>
        <w:tblGridChange w:id="0">
          <w:tblGrid>
            <w:gridCol w:w="390"/>
            <w:gridCol w:w="8625"/>
            <w:gridCol w:w="735"/>
          </w:tblGrid>
        </w:tblGridChange>
      </w:tblGrid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Отм.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Проверен документ, удостоверяющий личность Заказчика (паспорт или иной документ по перечню); водительское удостоверение таким документом не является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Проверены документы на АМТС: СТС/ПТС; при несовпадении Ф. И. О. - доверенность, договор аренды (лизинга), путевой лист или иной документ о праве 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Документы Заказчику возвращены (изъятию не подлежат)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Для юридического лица / ИП - проверены полномочия представителя (доверенность, приказ)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Заполнены разделы 1–3 заказ-наряда: данные Заказчика, сведения об АМТС, комплектность, состояние, заявленные неисправности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Выполнена фотофиксация АМТС по кругу, салона, одометра, имеющихся повреждений; количество снимков внесено в бланк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Заполнены разделы 4–7: перечень работ, запасные части, цена, порядок оплаты, сроки, гарантийные сроки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Запасные части Заказчика внесены в раздел 6 со сведениями о подтверждении соответствия и отметкой о пригодности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Заказчик ознакомлен с Договором-офертой и прейскурантом; отметки в пунктах 8.5–8.6 проставлены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Указаны срок явки за АМТС и плата за хранение (или отметка, что плата не взимается)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Получена ПОДПИСЬ 1 Заказчика (разделы 1–8); один экземпляр заказ-наряда выдан Заказчику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Ключи, брелоки и документы, оставленные в салоне, зафиксированы и приняты на хранение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keepNext w:val="1"/>
        <w:keepLines w:val="1"/>
        <w:spacing w:after="40" w:before="80" w:line="240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Б. В процессе работ</w:t>
      </w:r>
      <w:r w:rsidDel="00000000" w:rsidR="00000000" w:rsidRPr="00000000">
        <w:rPr>
          <w:rtl w:val="0"/>
        </w:rPr>
      </w:r>
    </w:p>
    <w:tbl>
      <w:tblPr>
        <w:tblStyle w:val="Table5"/>
        <w:tblW w:w="9750.0" w:type="dxa"/>
        <w:jc w:val="left"/>
        <w:tblInd w:w="-115.0" w:type="dxa"/>
        <w:tblLayout w:type="fixed"/>
        <w:tblLook w:val="0400"/>
      </w:tblPr>
      <w:tblGrid>
        <w:gridCol w:w="390"/>
        <w:gridCol w:w="8655"/>
        <w:gridCol w:w="705"/>
        <w:tblGridChange w:id="0">
          <w:tblGrid>
            <w:gridCol w:w="390"/>
            <w:gridCol w:w="8655"/>
            <w:gridCol w:w="705"/>
          </w:tblGrid>
        </w:tblGridChange>
      </w:tblGrid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Отм.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Выявлены дополнительные работы - заполнен раздел 9 заказ-наряда «Лист осмотра (дефектовки) и согласования»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Согласование получено до начала дополнительных работ; способ, дата, время и содержание зафиксированы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Подтверждающие материалы (аудиозапись, скриншот, письмо) приобщены к делу заказ-наряда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При необходимости сделано предупреждение об особых свойствах АМТС и запасных частей; ответ Заказчика зафиксирован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Продление срока оформлено в пункте 9.7 заказ-наряда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keepNext w:val="1"/>
        <w:keepLines w:val="1"/>
        <w:spacing w:after="40" w:before="80" w:line="240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В. Выдача автомобиля</w:t>
      </w:r>
      <w:r w:rsidDel="00000000" w:rsidR="00000000" w:rsidRPr="00000000">
        <w:rPr>
          <w:rtl w:val="0"/>
        </w:rPr>
      </w:r>
    </w:p>
    <w:tbl>
      <w:tblPr>
        <w:tblStyle w:val="Table6"/>
        <w:tblW w:w="9750.0" w:type="dxa"/>
        <w:jc w:val="left"/>
        <w:tblInd w:w="-115.0" w:type="dxa"/>
        <w:tblLayout w:type="fixed"/>
        <w:tblLook w:val="0400"/>
      </w:tblPr>
      <w:tblGrid>
        <w:gridCol w:w="390"/>
        <w:gridCol w:w="8655"/>
        <w:gridCol w:w="705"/>
        <w:tblGridChange w:id="0">
          <w:tblGrid>
            <w:gridCol w:w="390"/>
            <w:gridCol w:w="8655"/>
            <w:gridCol w:w="705"/>
          </w:tblGrid>
        </w:tblGridChange>
      </w:tblGrid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Отм.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Заказчик извещён о готовности АМТС способом, указанным в заказ-наряде; дата и время извещения зафиксированы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Заполнен раздел 10 заказ-наряда: акт сдачи-приёмки выполненных работ и гарантийный талон; указаны гарантийные сроки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Расчёт произведён полностью; выдан кассовый чек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Результат работ предъявлен Заказчику; выполнена фотофиксация при выдаче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Внесена запись о неисправностях, угрожающих безопасности дорожного движения (или отметка об их отсутствии)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Решён вопрос о заменённых запасных частях: возврат или утилизация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Получена ПОДПИСЬ 2 Заказчика (раздел 10); заполненный экземпляр заказ-наряда и документы на АМТС выданы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Все документы по обращению подшиты в дело заказ-наряда; фотоматериалы сохранены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gridSpan w:val="3"/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Мастер-приёмщик: _____________________________________________ / ____________________ /  </w:t>
            </w:r>
          </w:p>
          <w:p w:rsidR="00000000" w:rsidDel="00000000" w:rsidP="00000000" w:rsidRDefault="00000000" w:rsidRPr="00000000" w14:paraId="000001F7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дата «____» ___________ 20____ г.</w:t>
            </w:r>
          </w:p>
          <w:p w:rsidR="00000000" w:rsidDel="00000000" w:rsidP="00000000" w:rsidRDefault="00000000" w:rsidRPr="00000000" w14:paraId="000001F9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.3149606299213" w:hRule="atLeast"/>
          <w:tblHeader w:val="0"/>
        </w:trPr>
        <w:tc>
          <w:tcPr>
            <w:gridSpan w:val="3"/>
            <w:tcBorders>
              <w:top w:color="111111" w:space="0" w:sz="6" w:val="single"/>
              <w:left w:color="111111" w:space="0" w:sz="6" w:val="single"/>
              <w:bottom w:color="111111" w:space="0" w:sz="6" w:val="single"/>
              <w:right w:color="111111" w:space="0" w:sz="6" w:val="single"/>
            </w:tcBorders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Основание: Правила оказания услуг (выполнения работ) по техническому обслуживанию и ремонту автомототранспортных средств, утв. постановлением Правительства РФ от 29.05.2025 № 780.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keepNext w:val="1"/>
        <w:keepLines w:val="1"/>
        <w:pageBreakBefore w:val="1"/>
        <w:spacing w:after="120" w:before="0" w:line="240" w:lineRule="auto"/>
        <w:ind w:firstLine="0"/>
        <w:jc w:val="righ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Приложение № 2 к Регламенту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before="120" w:line="276" w:lineRule="auto"/>
        <w:ind w:firstLine="0"/>
        <w:jc w:val="center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4"/>
          <w:szCs w:val="24"/>
          <w:rtl w:val="0"/>
        </w:rPr>
        <w:t xml:space="preserve">ПАМЯТКА ДЛЯ РАБОТНИКОВ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00" w:before="0" w:line="276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какие документы Заказчика необходимы для оформления и подписания заказ-наряда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before="200" w:line="276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1. Главный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00" w:before="0" w:line="276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Одного водительского удостоверения недостаточно. Водительское удостоверение подтверждает право управления транспортным средством, но не является документом, удостоверяющим личность, и не подтверждает право владения автомобилем. На это прямо указал Верховный Суд Российской Федерации в пункте 37 Обзора судебной практики № 1 (2023), утверждённого Президиумом 26.04.2023.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00" w:before="0" w:line="276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Пункт 8 Правил, утверждённых постановлением Правительства РФ от 29.05.2025 № 780, требует при заключении договора предъявления двух групп документов: документа, удостоверяющего личность, и документов, подтверждающих право собственности (право пользования) на автомототранспортное средство.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before="200" w:line="276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2. Что проверяем при приёме</w:t>
      </w:r>
      <w:r w:rsidDel="00000000" w:rsidR="00000000" w:rsidRPr="00000000">
        <w:rPr>
          <w:rtl w:val="0"/>
        </w:rPr>
      </w:r>
    </w:p>
    <w:tbl>
      <w:tblPr>
        <w:tblStyle w:val="Table7"/>
        <w:tblW w:w="9922.0" w:type="dxa"/>
        <w:jc w:val="left"/>
        <w:tblInd w:w="-115.0" w:type="dxa"/>
        <w:tblLayout w:type="fixed"/>
        <w:tblLook w:val="0400"/>
      </w:tblPr>
      <w:tblGrid>
        <w:gridCol w:w="2835"/>
        <w:gridCol w:w="5103"/>
        <w:gridCol w:w="1984"/>
        <w:tblGridChange w:id="0">
          <w:tblGrid>
            <w:gridCol w:w="2835"/>
            <w:gridCol w:w="5103"/>
            <w:gridCol w:w="19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207">
            <w:pPr>
              <w:spacing w:after="20" w:before="20" w:line="252.00000000000003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Что подтверждаем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208">
            <w:pPr>
              <w:spacing w:after="20" w:before="20" w:line="252.00000000000003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Какие документы принимаем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209">
            <w:pPr>
              <w:spacing w:after="20" w:before="20" w:line="252.00000000000003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Обязательно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20A">
            <w:pPr>
              <w:spacing w:after="20" w:before="20" w:line="252.00000000000003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Личность Заказчика - физического 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20B">
            <w:pPr>
              <w:spacing w:after="20" w:before="20" w:line="252.00000000000003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Паспорт гражданина РФ; для иностранного гражданина - паспорт иностранного государства; иной документ из перечня, установленного постановлением Правительства РФ от 06.08.2015 № 813 и Указом Президента РФ от 13.03.1997 № 232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20C">
            <w:pPr>
              <w:spacing w:after="20" w:before="20" w:line="252.00000000000003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20D">
            <w:pPr>
              <w:spacing w:after="20" w:before="20" w:line="252.00000000000003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Право на автомобиль (собственность)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20E">
            <w:pPr>
              <w:spacing w:after="20" w:before="20" w:line="252.00000000000003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Свидетельство о регистрации ТС или ПТС - как основной практический документ; при необходимости - договор купли-продажи, дарения, свидетельство о праве на наследство, решение суда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20F">
            <w:pPr>
              <w:spacing w:after="20" w:before="20" w:line="252.00000000000003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210">
            <w:pPr>
              <w:spacing w:after="20" w:before="20" w:line="252.00000000000003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Право пользования, если Заказчик не собственник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211">
            <w:pPr>
              <w:spacing w:after="20" w:before="20" w:line="252.00000000000003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Доверенность (в простой письменной форме достаточно), договор аренды или лизинга, путевой лист, страховой полис с допуском к управлению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212">
            <w:pPr>
              <w:spacing w:after="20" w:before="20" w:line="252.00000000000003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Да, если Ф. И. О. Заказчика не совпадает с данными в СТС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213">
            <w:pPr>
              <w:spacing w:after="20" w:before="20" w:line="252.00000000000003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Полномочия представителя юридического лица или 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214">
            <w:pPr>
              <w:spacing w:after="20" w:before="20" w:line="252.00000000000003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Доверенность, приказ о назначении, для руководителя - выписка из ЕГРЮЛ или ЕГРИП; реквизиты организации: ОГРН (ОГРНИП), ИНН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215">
            <w:pPr>
              <w:spacing w:after="20" w:before="20" w:line="252.00000000000003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Да, при заказчике - организации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216">
            <w:pPr>
              <w:spacing w:after="20" w:before="20" w:line="252.00000000000003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Право на льготу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217">
            <w:pPr>
              <w:spacing w:after="20" w:before="20" w:line="252.00000000000003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Документ, подтверждающий право на льготу или преимущество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8" w:val="single"/>
              <w:left w:color="111111" w:space="0" w:sz="8" w:val="single"/>
              <w:bottom w:color="111111" w:space="0" w:sz="8" w:val="single"/>
              <w:right w:color="111111" w:space="0" w:sz="8" w:val="single"/>
            </w:tcBorders>
          </w:tcPr>
          <w:p w:rsidR="00000000" w:rsidDel="00000000" w:rsidP="00000000" w:rsidRDefault="00000000" w:rsidRPr="00000000" w14:paraId="00000218">
            <w:pPr>
              <w:spacing w:after="20" w:before="20" w:line="252.00000000000003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11111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111111"/>
                <w:sz w:val="22"/>
                <w:szCs w:val="22"/>
                <w:rtl w:val="0"/>
              </w:rPr>
              <w:t xml:space="preserve">Только если льгота заявлена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120" w:before="200" w:line="276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3. Важные правила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00" w:before="0" w:line="276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3.1. Документы Заказчика не изымаются и не удерживаются: работник переписывает необходимые сведения в бланк заказ-наряда и сразу возвращает документы.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00" w:before="0" w:line="276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3.2. Свидетельство о регистрации и ПТС по позиции Верховного Суда РФ не являются правоустанавливающими документами - регистрация носит учётный характер. Для обычного ремонта их предъявления достаточно; повышенное внимание требуется при дорогостоящем ремонте, замене номерных агрегатов, разборке или получении автомобиля третьим лицом.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00" w:before="0" w:line="276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3.3. Если Ф. И. О. в свидетельстве о регистрации не совпадает с Заказчиком, работник отмечает в бланке основание владения (доверенность, договор аренды, путевой лист) и его реквизиты.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00" w:before="0" w:line="276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3.4. При ремонте отдельной составной части, не являющейся номерной (например, привезённого агрегата, колеса, стартера), документы по пункту 8 Правил не требуются - в бланке проставляется соответствующая отметка.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00" w:before="0" w:line="276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3.5. Копии документов Заказчика не изготавливаются и не хранятся без необходимости: для исполнения договора достаточно переписанных в бланк сведений. Такая обработка персональных данных выполняется на основании подпункта 5 пункта 1 статьи 6 Федерального закона от 27.07.2006 № 152-ФЗ и отдельного согласия не требует.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00" w:before="0" w:line="276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3.6. Отдельное письменное согласие берётся только для рассылки рекламных и информационных сообщений.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before="200" w:line="276" w:lineRule="auto"/>
        <w:ind w:firstLine="0"/>
        <w:jc w:val="left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sz w:val="22"/>
          <w:szCs w:val="22"/>
          <w:rtl w:val="0"/>
        </w:rPr>
        <w:t xml:space="preserve">4. Когда работу оформлять нельзя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00" w:before="0" w:line="276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4.1. Заказчик отказывается предъявить документ, удостоверяющий личность, - заказ-наряд не оформляется.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00" w:before="0" w:line="276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4.2. Заказчик не подтверждает ни право собственности, ни право пользования автомобилем.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00" w:before="0" w:line="276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4.3. Есть признаки изменения или уничтожения идентификационной маркировки (VIN, номер двигателя): работы не выполняются, обстоятельства фиксируются, автомобиль возвращается предъявителю.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00" w:before="0" w:line="276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4.4. Представитель организации не подтверждает полномочия.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00" w:before="0" w:line="276" w:lineRule="auto"/>
        <w:ind w:firstLine="0"/>
        <w:jc w:val="both"/>
        <w:rPr>
          <w:rFonts w:ascii="Times New Roman" w:cs="Times New Roman" w:eastAsia="Times New Roman" w:hAnsi="Times New Roman"/>
          <w:color w:val="11111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1111"/>
          <w:sz w:val="22"/>
          <w:szCs w:val="22"/>
          <w:rtl w:val="0"/>
        </w:rPr>
        <w:t xml:space="preserve">Нормативная основа: пункты 8, 9 Правил, утв. постановлением Правительства РФ от 29.05.2025 № 780; пункт 37 Обзора судебной практики Верховного Суда РФ № 1 (2023) от 26.04.2023; постановление Правительства РФ от 06.08.2015 № 813; Указ Президента РФ от 13.03.1997 № 232; статья 6 Федерального закона от 27.07.2006 № 152-ФЗ.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134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111111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Times New Roman" w:cs="Times New Roman" w:eastAsia="Times New Roman" w:hAnsi="Times New Roman" w:asciiTheme="majorHAnsi" w:cstheme="majorBidi" w:eastAsiaTheme="majorEastAsia" w:hAnsiTheme="majorHAnsi"/>
      <w:i w:val="1"/>
      <w:iCs w:val="1"/>
      <w:color w:val="404040" w:themeColor="text1" w:themeTint="0000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Times New Roman" w:cs="Times New Roman" w:eastAsia="Times New Roman" w:hAnsi="Times New Roman" w:asciiTheme="majorHAnsi" w:cstheme="majorBidi" w:eastAsiaTheme="majorEastAsia" w:hAnsiTheme="majorHAnsi"/>
      <w:color w:val="4f81bd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Times New Roman" w:cs="Times New Roman" w:eastAsia="Times New Roman" w:hAnsi="Times New Roman" w:asciiTheme="majorHAnsi" w:cstheme="majorBidi" w:eastAsiaTheme="majorEastAsia" w:hAnsiTheme="majorHAnsi"/>
      <w:i w:val="1"/>
      <w:iCs w:val="1"/>
      <w:color w:val="404040" w:themeColor="text1" w:themeTint="0000BF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Times New Roman" w:cs="Times New Roman" w:eastAsia="Times New Roman" w:hAnsi="Times New Roman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Times New Roman" w:cs="Times New Roman" w:eastAsia="Times New Roman" w:hAnsi="Times New Roman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Times New Roman" w:cs="Times New Roman" w:eastAsia="Times New Roman" w:hAnsi="Times New Roman" w:asciiTheme="majorHAnsi" w:cstheme="majorBidi" w:eastAsiaTheme="majorEastAsia" w:hAnsiTheme="majorHAnsi"/>
      <w:b w:val="1"/>
      <w:bCs w:val="1"/>
      <w:color w:val="4f81bd" w:themeColor="accent1"/>
      <w:sz w:val="22"/>
      <w:szCs w:val="2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Times New Roman" w:cs="Times New Roman" w:eastAsia="Times New Roman" w:hAnsi="Times New Roman"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Times New Roman" w:cs="Times New Roman" w:eastAsia="Times New Roman" w:hAnsi="Times New Roman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rFonts w:ascii="Times New Roman" w:cs="Times New Roman" w:eastAsia="Times New Roman" w:hAnsi="Times New Roman"/>
      <w:color w:val="111111"/>
      <w:sz w:val="22"/>
      <w:szCs w:val="22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rFonts w:ascii="Times New Roman" w:cs="Times New Roman" w:eastAsia="Times New Roman" w:hAnsi="Times New Roman"/>
      <w:color w:val="111111"/>
      <w:sz w:val="22"/>
      <w:szCs w:val="22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cs="Times New Roman" w:eastAsia="Times New Roman" w:hAnsi="Courier"/>
      <w:color w:val="111111"/>
      <w:sz w:val="22"/>
      <w:szCs w:val="22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cs="Times New Roman" w:eastAsia="Times New Roman" w:hAnsi="Courier"/>
      <w:color w:val="111111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rFonts w:ascii="Times New Roman" w:cs="Times New Roman" w:eastAsia="Times New Roman" w:hAnsi="Times New Roman"/>
      <w:i w:val="1"/>
      <w:iCs w:val="1"/>
      <w:color w:val="000000" w:themeColor="text1"/>
      <w:sz w:val="22"/>
      <w:szCs w:val="22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rFonts w:ascii="Times New Roman" w:cs="Times New Roman" w:eastAsia="Times New Roman" w:hAnsi="Times New Roman"/>
      <w:i w:val="1"/>
      <w:iCs w:val="1"/>
      <w:color w:val="000000" w:themeColor="text1"/>
      <w:sz w:val="22"/>
      <w:szCs w:val="22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="Times New Roman" w:cs="Times New Roman" w:eastAsia="Times New Roman" w:hAnsi="Times New Roman" w:asciiTheme="majorHAnsi" w:cstheme="majorBidi" w:eastAsiaTheme="majorEastAsia" w:hAnsiTheme="majorHAnsi"/>
      <w:b w:val="1"/>
      <w:bCs w:val="1"/>
      <w:i w:val="1"/>
      <w:iCs w:val="1"/>
      <w:color w:val="4f81bd" w:themeColor="accent1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="Times New Roman" w:cs="Times New Roman" w:eastAsia="Times New Roman" w:hAnsi="Times New Roman" w:asciiTheme="majorHAnsi" w:cstheme="majorBidi" w:eastAsiaTheme="majorEastAsia" w:hAnsiTheme="majorHAnsi"/>
      <w:color w:val="243f60" w:themeColor="accent1" w:themeShade="00007F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="Times New Roman" w:cs="Times New Roman" w:eastAsia="Times New Roman" w:hAnsi="Times New Roman" w:asciiTheme="majorHAnsi" w:cstheme="majorBidi" w:eastAsiaTheme="majorEastAsia" w:hAnsiTheme="majorHAnsi"/>
      <w:i w:val="1"/>
      <w:iCs w:val="1"/>
      <w:color w:val="243f60" w:themeColor="accent1" w:themeShade="00007F"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="Times New Roman" w:cs="Times New Roman" w:eastAsia="Times New Roman" w:hAnsi="Times New Roman" w:asciiTheme="majorHAnsi" w:cstheme="majorBidi" w:eastAsiaTheme="majorEastAsia" w:hAnsiTheme="majorHAnsi"/>
      <w:i w:val="1"/>
      <w:iCs w:val="1"/>
      <w:color w:val="404040" w:themeColor="text1" w:themeTint="0000BF"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="Times New Roman" w:cs="Times New Roman" w:eastAsia="Times New Roman" w:hAnsi="Times New Roman" w:asciiTheme="majorHAnsi" w:cstheme="majorBidi" w:eastAsiaTheme="majorEastAsia" w:hAnsiTheme="majorHAnsi"/>
      <w:color w:val="4f81bd" w:themeColor="accent1"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="Times New Roman" w:cs="Times New Roman" w:eastAsia="Times New Roman" w:hAnsi="Times New Roman" w:asciiTheme="majorHAnsi" w:cstheme="majorBidi" w:eastAsiaTheme="majorEastAsia" w:hAnsiTheme="majorHAnsi"/>
      <w:i w:val="1"/>
      <w:iCs w:val="1"/>
      <w:color w:val="404040" w:themeColor="text1" w:themeTint="0000BF"/>
      <w:sz w:val="22"/>
      <w:szCs w:val="22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rFonts w:ascii="Times New Roman" w:cs="Times New Roman" w:eastAsia="Times New Roman" w:hAnsi="Times New Roman"/>
      <w:b w:val="1"/>
      <w:bCs w:val="1"/>
      <w:color w:val="4f81bd" w:themeColor="accent1"/>
      <w:sz w:val="22"/>
      <w:szCs w:val="22"/>
    </w:rPr>
  </w:style>
  <w:style w:type="character" w:styleId="Strong">
    <w:name w:val="Strong"/>
    <w:basedOn w:val="DefaultParagraphFont"/>
    <w:uiPriority w:val="22"/>
    <w:qFormat w:val="1"/>
    <w:rsid w:val="00FC693F"/>
    <w:rPr>
      <w:rFonts w:ascii="Times New Roman" w:cs="Times New Roman" w:eastAsia="Times New Roman" w:hAnsi="Times New Roman"/>
      <w:b w:val="1"/>
      <w:bCs w:val="1"/>
      <w:color w:val="111111"/>
      <w:sz w:val="22"/>
      <w:szCs w:val="22"/>
    </w:rPr>
  </w:style>
  <w:style w:type="character" w:styleId="Emphasis">
    <w:name w:val="Emphasis"/>
    <w:basedOn w:val="DefaultParagraphFont"/>
    <w:uiPriority w:val="20"/>
    <w:qFormat w:val="1"/>
    <w:rsid w:val="00FC693F"/>
    <w:rPr>
      <w:rFonts w:ascii="Times New Roman" w:cs="Times New Roman" w:eastAsia="Times New Roman" w:hAnsi="Times New Roman"/>
      <w:i w:val="1"/>
      <w:iCs w:val="1"/>
      <w:color w:val="111111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imes New Roman" w:cs="Times New Roman" w:eastAsia="Times New Roman" w:hAnsi="Times New Roman"/>
      <w:b w:val="1"/>
      <w:bCs w:val="1"/>
      <w:i w:val="1"/>
      <w:iCs w:val="1"/>
      <w:color w:val="4f81bd" w:themeColor="accent1"/>
      <w:sz w:val="22"/>
      <w:szCs w:val="2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rFonts w:ascii="Times New Roman" w:cs="Times New Roman" w:eastAsia="Times New Roman" w:hAnsi="Times New Roman"/>
      <w:b w:val="1"/>
      <w:bCs w:val="1"/>
      <w:i w:val="1"/>
      <w:iCs w:val="1"/>
      <w:color w:val="4f81bd" w:themeColor="accent1"/>
      <w:sz w:val="22"/>
      <w:szCs w:val="22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rFonts w:ascii="Times New Roman" w:cs="Times New Roman" w:eastAsia="Times New Roman" w:hAnsi="Times New Roman"/>
      <w:i w:val="1"/>
      <w:iCs w:val="1"/>
      <w:color w:val="808080" w:themeColor="text1" w:themeTint="00007F"/>
      <w:sz w:val="22"/>
      <w:szCs w:val="22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rFonts w:ascii="Times New Roman" w:cs="Times New Roman" w:eastAsia="Times New Roman" w:hAnsi="Times New Roman"/>
      <w:b w:val="1"/>
      <w:bCs w:val="1"/>
      <w:i w:val="1"/>
      <w:iCs w:val="1"/>
      <w:color w:val="4f81bd" w:themeColor="accent1"/>
      <w:sz w:val="22"/>
      <w:szCs w:val="22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rFonts w:ascii="Times New Roman" w:cs="Times New Roman" w:eastAsia="Times New Roman" w:hAnsi="Times New Roman"/>
      <w:smallCaps w:val="1"/>
      <w:color w:val="c0504d" w:themeColor="accent2"/>
      <w:sz w:val="22"/>
      <w:szCs w:val="2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rFonts w:ascii="Times New Roman" w:cs="Times New Roman" w:eastAsia="Times New Roman" w:hAnsi="Times New Roman"/>
      <w:b w:val="1"/>
      <w:bCs w:val="1"/>
      <w:smallCaps w:val="1"/>
      <w:color w:val="c0504d" w:themeColor="accent2"/>
      <w:spacing w:val="5"/>
      <w:sz w:val="22"/>
      <w:szCs w:val="22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rFonts w:ascii="Times New Roman" w:cs="Times New Roman" w:eastAsia="Times New Roman" w:hAnsi="Times New Roman"/>
      <w:b w:val="1"/>
      <w:bCs w:val="1"/>
      <w:smallCaps w:val="1"/>
      <w:color w:val="111111"/>
      <w:spacing w:val="5"/>
      <w:sz w:val="22"/>
      <w:szCs w:val="22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cs="Times New Roman" w:eastAsia="Times New Roman" w:hAnsi="Times New Roman"/>
      <w:color w:val="000000" w:themeColor="text1" w:themeShade="0000BF"/>
      <w:sz w:val="22"/>
      <w:szCs w:val="22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cs="Times New Roman" w:eastAsia="Times New Roman" w:hAnsi="Times New Roman"/>
      <w:color w:val="365f91" w:themeColor="accent1" w:themeShade="0000BF"/>
      <w:sz w:val="22"/>
      <w:szCs w:val="22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cs="Times New Roman" w:eastAsia="Times New Roman" w:hAnsi="Times New Roman"/>
      <w:color w:val="943634" w:themeColor="accent2" w:themeShade="0000BF"/>
      <w:sz w:val="22"/>
      <w:szCs w:val="22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cs="Times New Roman" w:eastAsia="Times New Roman" w:hAnsi="Times New Roman"/>
      <w:color w:val="76923c" w:themeColor="accent3" w:themeShade="0000BF"/>
      <w:sz w:val="22"/>
      <w:szCs w:val="22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cs="Times New Roman" w:eastAsia="Times New Roman" w:hAnsi="Times New Roman"/>
      <w:color w:val="5f497a" w:themeColor="accent4" w:themeShade="0000BF"/>
      <w:sz w:val="22"/>
      <w:szCs w:val="22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cs="Times New Roman" w:eastAsia="Times New Roman" w:hAnsi="Times New Roman"/>
      <w:color w:val="31849b" w:themeColor="accent5" w:themeShade="0000BF"/>
      <w:sz w:val="22"/>
      <w:szCs w:val="22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cs="Times New Roman" w:eastAsia="Times New Roman" w:hAnsi="Times New Roman"/>
      <w:color w:val="e36c0a" w:themeColor="accent6" w:themeShade="0000BF"/>
      <w:sz w:val="22"/>
      <w:szCs w:val="22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 w:asciiTheme="majorHAnsi" w:cstheme="majorBidi" w:eastAsiaTheme="majorEastAsia" w:hAnsiTheme="majorHAnsi"/>
        <w:b w:val="1"/>
        <w:bCs w:val="1"/>
        <w:color w:val="111111"/>
        <w:sz w:val="22"/>
        <w:szCs w:val="22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color w:val="auto"/>
        <w:sz w:val="22"/>
        <w:szCs w:val="22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color w:val="auto"/>
        <w:sz w:val="22"/>
        <w:szCs w:val="22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color w:val="auto"/>
        <w:sz w:val="22"/>
        <w:szCs w:val="22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color w:val="auto"/>
        <w:sz w:val="22"/>
        <w:szCs w:val="22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color w:val="auto"/>
        <w:sz w:val="22"/>
        <w:szCs w:val="22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color w:val="auto"/>
        <w:sz w:val="22"/>
        <w:szCs w:val="22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ascii="Times New Roman" w:cs="Times New Roman" w:eastAsia="Times New Roman" w:hAnsi="Times New Roman"/>
        <w:color w:val="auto"/>
        <w:sz w:val="22"/>
        <w:szCs w:val="22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Times New Roman" w:cs="Times New Roman" w:eastAsia="Times New Roman" w:hAnsi="Times New Roman" w:asciiTheme="majorHAnsi" w:cstheme="majorBidi" w:eastAsiaTheme="majorEastAsia" w:hAnsiTheme="majorHAnsi"/>
        <w:color w:val="111111"/>
        <w:sz w:val="22"/>
        <w:szCs w:val="22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1f497d" w:themeColor="text2"/>
        <w:sz w:val="22"/>
        <w:szCs w:val="2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Times New Roman" w:cs="Times New Roman" w:eastAsia="Times New Roman" w:hAnsi="Times New Roman" w:asciiTheme="majorHAnsi" w:cstheme="majorBidi" w:eastAsiaTheme="majorEastAsia" w:hAnsiTheme="majorHAnsi"/>
        <w:color w:val="111111"/>
        <w:sz w:val="22"/>
        <w:szCs w:val="22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1f497d" w:themeColor="text2"/>
        <w:sz w:val="22"/>
        <w:szCs w:val="2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Times New Roman" w:cs="Times New Roman" w:eastAsia="Times New Roman" w:hAnsi="Times New Roman" w:asciiTheme="majorHAnsi" w:cstheme="majorBidi" w:eastAsiaTheme="majorEastAsia" w:hAnsiTheme="majorHAnsi"/>
        <w:color w:val="111111"/>
        <w:sz w:val="22"/>
        <w:szCs w:val="22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1f497d" w:themeColor="text2"/>
        <w:sz w:val="22"/>
        <w:szCs w:val="2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Times New Roman" w:cs="Times New Roman" w:eastAsia="Times New Roman" w:hAnsi="Times New Roman" w:asciiTheme="majorHAnsi" w:cstheme="majorBidi" w:eastAsiaTheme="majorEastAsia" w:hAnsiTheme="majorHAnsi"/>
        <w:color w:val="111111"/>
        <w:sz w:val="22"/>
        <w:szCs w:val="22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1f497d" w:themeColor="text2"/>
        <w:sz w:val="22"/>
        <w:szCs w:val="2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Times New Roman" w:cs="Times New Roman" w:eastAsia="Times New Roman" w:hAnsi="Times New Roman" w:asciiTheme="majorHAnsi" w:cstheme="majorBidi" w:eastAsiaTheme="majorEastAsia" w:hAnsiTheme="majorHAnsi"/>
        <w:color w:val="111111"/>
        <w:sz w:val="22"/>
        <w:szCs w:val="22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1f497d" w:themeColor="text2"/>
        <w:sz w:val="22"/>
        <w:szCs w:val="2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Times New Roman" w:cs="Times New Roman" w:eastAsia="Times New Roman" w:hAnsi="Times New Roman" w:asciiTheme="majorHAnsi" w:cstheme="majorBidi" w:eastAsiaTheme="majorEastAsia" w:hAnsiTheme="majorHAnsi"/>
        <w:color w:val="111111"/>
        <w:sz w:val="22"/>
        <w:szCs w:val="22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1f497d" w:themeColor="text2"/>
        <w:sz w:val="22"/>
        <w:szCs w:val="2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Times New Roman" w:cs="Times New Roman" w:eastAsia="Times New Roman" w:hAnsi="Times New Roman" w:asciiTheme="majorHAnsi" w:cstheme="majorBidi" w:eastAsiaTheme="majorEastAsia" w:hAnsiTheme="majorHAnsi"/>
        <w:color w:val="111111"/>
        <w:sz w:val="22"/>
        <w:szCs w:val="22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1f497d" w:themeColor="text2"/>
        <w:sz w:val="22"/>
        <w:szCs w:val="2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cs="Times New Roman" w:eastAsia="Times New Roman" w:hAnsi="Times New Roman" w:asciiTheme="majorHAnsi" w:cstheme="majorBidi" w:eastAsiaTheme="majorEastAsia" w:hAnsiTheme="majorHAnsi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color w:val="111111"/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cs="Times New Roman" w:eastAsia="Times New Roman" w:hAnsi="Times New Roman" w:asciiTheme="majorHAnsi" w:cstheme="majorBidi" w:eastAsiaTheme="majorEastAsia" w:hAnsiTheme="majorHAnsi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color w:val="111111"/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cs="Times New Roman" w:eastAsia="Times New Roman" w:hAnsi="Times New Roman" w:asciiTheme="majorHAnsi" w:cstheme="majorBidi" w:eastAsiaTheme="majorEastAsia" w:hAnsiTheme="majorHAnsi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color w:val="111111"/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cs="Times New Roman" w:eastAsia="Times New Roman" w:hAnsi="Times New Roman" w:asciiTheme="majorHAnsi" w:cstheme="majorBidi" w:eastAsiaTheme="majorEastAsia" w:hAnsiTheme="majorHAnsi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color w:val="111111"/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cs="Times New Roman" w:eastAsia="Times New Roman" w:hAnsi="Times New Roman" w:asciiTheme="majorHAnsi" w:cstheme="majorBidi" w:eastAsiaTheme="majorEastAsia" w:hAnsiTheme="majorHAnsi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color w:val="111111"/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cs="Times New Roman" w:eastAsia="Times New Roman" w:hAnsi="Times New Roman" w:asciiTheme="majorHAnsi" w:cstheme="majorBidi" w:eastAsiaTheme="majorEastAsia" w:hAnsiTheme="majorHAnsi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color w:val="111111"/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cs="Times New Roman" w:eastAsia="Times New Roman" w:hAnsi="Times New Roman" w:asciiTheme="majorHAnsi" w:cstheme="majorBidi" w:eastAsiaTheme="majorEastAsia" w:hAnsiTheme="majorHAnsi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color w:val="111111"/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cs="Times New Roman" w:eastAsia="Times New Roman" w:hAnsi="Times New Roman" w:asciiTheme="majorHAnsi" w:cstheme="majorBidi" w:eastAsiaTheme="majorEastAsia" w:hAnsiTheme="majorHAnsi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shd w:color="auto" w:fill="e6e6e6" w:themeFill="text1" w:themeFillTint="000019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rFonts w:ascii="Times New Roman" w:cs="Times New Roman" w:eastAsia="Times New Roman" w:hAnsi="Times New Roman"/>
        <w:b w:val="0"/>
        <w:bCs w:val="0"/>
        <w:color w:val="000000" w:themeColor="text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cs="Times New Roman" w:eastAsia="Times New Roman" w:hAnsi="Times New Roman" w:asciiTheme="majorHAnsi" w:cstheme="majorBidi" w:eastAsiaTheme="majorEastAsia" w:hAnsiTheme="majorHAnsi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shd w:color="auto" w:fill="edf2f8" w:themeFill="accent1" w:themeFillTint="000019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rFonts w:ascii="Times New Roman" w:cs="Times New Roman" w:eastAsia="Times New Roman" w:hAnsi="Times New Roman"/>
        <w:b w:val="0"/>
        <w:bCs w:val="0"/>
        <w:color w:val="000000" w:themeColor="text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cs="Times New Roman" w:eastAsia="Times New Roman" w:hAnsi="Times New Roman" w:asciiTheme="majorHAnsi" w:cstheme="majorBidi" w:eastAsiaTheme="majorEastAsia" w:hAnsiTheme="majorHAnsi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shd w:color="auto" w:fill="f8eded" w:themeFill="accent2" w:themeFillTint="000019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rFonts w:ascii="Times New Roman" w:cs="Times New Roman" w:eastAsia="Times New Roman" w:hAnsi="Times New Roman"/>
        <w:b w:val="0"/>
        <w:bCs w:val="0"/>
        <w:color w:val="000000" w:themeColor="text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cs="Times New Roman" w:eastAsia="Times New Roman" w:hAnsi="Times New Roman" w:asciiTheme="majorHAnsi" w:cstheme="majorBidi" w:eastAsiaTheme="majorEastAsia" w:hAnsiTheme="majorHAnsi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shd w:color="auto" w:fill="f5f8ee" w:themeFill="accent3" w:themeFillTint="000019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rFonts w:ascii="Times New Roman" w:cs="Times New Roman" w:eastAsia="Times New Roman" w:hAnsi="Times New Roman"/>
        <w:b w:val="0"/>
        <w:bCs w:val="0"/>
        <w:color w:val="000000" w:themeColor="text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cs="Times New Roman" w:eastAsia="Times New Roman" w:hAnsi="Times New Roman" w:asciiTheme="majorHAnsi" w:cstheme="majorBidi" w:eastAsiaTheme="majorEastAsia" w:hAnsiTheme="majorHAnsi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shd w:color="auto" w:fill="f2eff6" w:themeFill="accent4" w:themeFillTint="000019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rFonts w:ascii="Times New Roman" w:cs="Times New Roman" w:eastAsia="Times New Roman" w:hAnsi="Times New Roman"/>
        <w:b w:val="0"/>
        <w:bCs w:val="0"/>
        <w:color w:val="000000" w:themeColor="text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cs="Times New Roman" w:eastAsia="Times New Roman" w:hAnsi="Times New Roman" w:asciiTheme="majorHAnsi" w:cstheme="majorBidi" w:eastAsiaTheme="majorEastAsia" w:hAnsiTheme="majorHAnsi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shd w:color="auto" w:fill="edf6f9" w:themeFill="accent5" w:themeFillTint="000019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rFonts w:ascii="Times New Roman" w:cs="Times New Roman" w:eastAsia="Times New Roman" w:hAnsi="Times New Roman"/>
        <w:b w:val="0"/>
        <w:bCs w:val="0"/>
        <w:color w:val="000000" w:themeColor="text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cs="Times New Roman" w:eastAsia="Times New Roman" w:hAnsi="Times New Roman" w:asciiTheme="majorHAnsi" w:cstheme="majorBidi" w:eastAsiaTheme="majorEastAsia" w:hAnsiTheme="majorHAnsi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shd w:color="auto" w:fill="fef4ec" w:themeFill="accent6" w:themeFillTint="000019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rFonts w:ascii="Times New Roman" w:cs="Times New Roman" w:eastAsia="Times New Roman" w:hAnsi="Times New Roman"/>
        <w:b w:val="0"/>
        <w:bCs w:val="0"/>
        <w:color w:val="000000" w:themeColor="text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rFonts w:ascii="Times New Roman" w:cs="Times New Roman" w:eastAsia="Times New Roman" w:hAnsi="Times New Roman"/>
        <w:b w:val="1"/>
        <w:bCs w:val="1"/>
        <w:i w:val="0"/>
        <w:iCs w:val="0"/>
        <w:color w:val="ffffff" w:themeColor="background1"/>
        <w:sz w:val="22"/>
        <w:szCs w:val="22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cs="Times New Roman" w:eastAsia="Times New Roman" w:hAnsi="Times New Roman"/>
      <w:color w:val="ffffff" w:themeColor="background1"/>
      <w:sz w:val="22"/>
      <w:szCs w:val="22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cs="Times New Roman" w:eastAsia="Times New Roman" w:hAnsi="Times New Roman"/>
      <w:color w:val="ffffff" w:themeColor="background1"/>
      <w:sz w:val="22"/>
      <w:szCs w:val="22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cs="Times New Roman" w:eastAsia="Times New Roman" w:hAnsi="Times New Roman"/>
      <w:color w:val="ffffff" w:themeColor="background1"/>
      <w:sz w:val="22"/>
      <w:szCs w:val="22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cs="Times New Roman" w:eastAsia="Times New Roman" w:hAnsi="Times New Roman"/>
      <w:color w:val="ffffff" w:themeColor="background1"/>
      <w:sz w:val="22"/>
      <w:szCs w:val="22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cs="Times New Roman" w:eastAsia="Times New Roman" w:hAnsi="Times New Roman"/>
      <w:color w:val="ffffff" w:themeColor="background1"/>
      <w:sz w:val="22"/>
      <w:szCs w:val="22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cs="Times New Roman" w:eastAsia="Times New Roman" w:hAnsi="Times New Roman"/>
      <w:color w:val="ffffff" w:themeColor="background1"/>
      <w:sz w:val="22"/>
      <w:szCs w:val="22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cs="Times New Roman" w:eastAsia="Times New Roman" w:hAnsi="Times New Roman"/>
      <w:color w:val="ffffff" w:themeColor="background1"/>
      <w:sz w:val="22"/>
      <w:szCs w:val="22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rFonts w:ascii="Times New Roman" w:cs="Times New Roman" w:eastAsia="Times New Roman" w:hAnsi="Times New Roman"/>
        <w:color w:val="000000" w:themeColor="text1"/>
        <w:sz w:val="22"/>
        <w:szCs w:val="22"/>
      </w:rPr>
    </w:tblStylePr>
    <w:tblStylePr w:type="nwCell">
      <w:rPr>
        <w:rFonts w:ascii="Times New Roman" w:cs="Times New Roman" w:eastAsia="Times New Roman" w:hAnsi="Times New Roman"/>
        <w:color w:val="000000" w:themeColor="text1"/>
        <w:sz w:val="22"/>
        <w:szCs w:val="22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rFonts w:ascii="Times New Roman" w:cs="Times New Roman" w:eastAsia="Times New Roman" w:hAnsi="Times New Roman"/>
        <w:color w:val="000000" w:themeColor="text1"/>
        <w:sz w:val="22"/>
        <w:szCs w:val="22"/>
      </w:rPr>
    </w:tblStylePr>
    <w:tblStylePr w:type="nwCell">
      <w:rPr>
        <w:rFonts w:ascii="Times New Roman" w:cs="Times New Roman" w:eastAsia="Times New Roman" w:hAnsi="Times New Roman"/>
        <w:color w:val="000000" w:themeColor="text1"/>
        <w:sz w:val="22"/>
        <w:szCs w:val="22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rFonts w:ascii="Times New Roman" w:cs="Times New Roman" w:eastAsia="Times New Roman" w:hAnsi="Times New Roman"/>
        <w:color w:val="000000" w:themeColor="text1"/>
        <w:sz w:val="22"/>
        <w:szCs w:val="22"/>
      </w:rPr>
    </w:tblStylePr>
    <w:tblStylePr w:type="nwCell">
      <w:rPr>
        <w:rFonts w:ascii="Times New Roman" w:cs="Times New Roman" w:eastAsia="Times New Roman" w:hAnsi="Times New Roman"/>
        <w:color w:val="000000" w:themeColor="text1"/>
        <w:sz w:val="22"/>
        <w:szCs w:val="22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rFonts w:ascii="Times New Roman" w:cs="Times New Roman" w:eastAsia="Times New Roman" w:hAnsi="Times New Roman"/>
        <w:color w:val="000000" w:themeColor="text1"/>
        <w:sz w:val="22"/>
        <w:szCs w:val="22"/>
      </w:rPr>
    </w:tblStylePr>
    <w:tblStylePr w:type="nwCell">
      <w:rPr>
        <w:rFonts w:ascii="Times New Roman" w:cs="Times New Roman" w:eastAsia="Times New Roman" w:hAnsi="Times New Roman"/>
        <w:color w:val="000000" w:themeColor="text1"/>
        <w:sz w:val="22"/>
        <w:szCs w:val="22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rFonts w:ascii="Times New Roman" w:cs="Times New Roman" w:eastAsia="Times New Roman" w:hAnsi="Times New Roman"/>
        <w:color w:val="000000" w:themeColor="text1"/>
        <w:sz w:val="22"/>
        <w:szCs w:val="22"/>
      </w:rPr>
    </w:tblStylePr>
    <w:tblStylePr w:type="nwCell">
      <w:rPr>
        <w:rFonts w:ascii="Times New Roman" w:cs="Times New Roman" w:eastAsia="Times New Roman" w:hAnsi="Times New Roman"/>
        <w:color w:val="000000" w:themeColor="text1"/>
        <w:sz w:val="22"/>
        <w:szCs w:val="22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rFonts w:ascii="Times New Roman" w:cs="Times New Roman" w:eastAsia="Times New Roman" w:hAnsi="Times New Roman"/>
        <w:color w:val="000000" w:themeColor="text1"/>
        <w:sz w:val="22"/>
        <w:szCs w:val="22"/>
      </w:rPr>
    </w:tblStylePr>
    <w:tblStylePr w:type="nwCell">
      <w:rPr>
        <w:rFonts w:ascii="Times New Roman" w:cs="Times New Roman" w:eastAsia="Times New Roman" w:hAnsi="Times New Roman"/>
        <w:color w:val="000000" w:themeColor="text1"/>
        <w:sz w:val="22"/>
        <w:szCs w:val="22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9e3a38" w:themeColor="accent2" w:themeShade="0000CC"/>
        <w:sz w:val="22"/>
        <w:szCs w:val="2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9e3a38" w:themeColor="accent2" w:themeShade="0000CC"/>
        <w:sz w:val="22"/>
        <w:szCs w:val="2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9e3a38" w:themeColor="accent2" w:themeShade="0000CC"/>
        <w:sz w:val="22"/>
        <w:szCs w:val="2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664e82" w:themeColor="accent4" w:themeShade="0000CC"/>
        <w:sz w:val="22"/>
        <w:szCs w:val="2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7e9c40" w:themeColor="accent3" w:themeShade="0000CC"/>
        <w:sz w:val="22"/>
        <w:szCs w:val="2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f2730a" w:themeColor="accent6" w:themeShade="0000CC"/>
        <w:sz w:val="22"/>
        <w:szCs w:val="2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ffffff" w:themeColor="background1"/>
        <w:sz w:val="22"/>
        <w:szCs w:val="22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348da5" w:themeColor="accent5" w:themeShade="0000CC"/>
        <w:sz w:val="22"/>
        <w:szCs w:val="2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lastCol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shd w:color="auto" w:fill="999999" w:themeFill="text1" w:themeFillTint="000066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shd w:color="auto" w:fill="999999" w:themeFill="text1" w:themeFillTint="000066" w:val="clear"/>
      </w:tcPr>
    </w:tblStylePr>
    <w:tblStylePr w:type="fir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shd w:color="auto" w:fill="000000" w:themeFill="text1" w:themeFillShade="0000BF" w:val="clear"/>
      </w:tcPr>
    </w:tblStylePr>
    <w:tblStylePr w:type="la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shd w:color="auto" w:fill="b8cce4" w:themeFill="accent1" w:themeFillTint="000066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shd w:color="auto" w:fill="b8cce4" w:themeFill="accent1" w:themeFillTint="000066" w:val="clear"/>
      </w:tcPr>
    </w:tblStylePr>
    <w:tblStylePr w:type="fir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shd w:color="auto" w:fill="365f91" w:themeFill="accent1" w:themeFillShade="0000BF" w:val="clear"/>
      </w:tcPr>
    </w:tblStylePr>
    <w:tblStylePr w:type="la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shd w:color="auto" w:fill="e5b8b7" w:themeFill="accent2" w:themeFillTint="000066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shd w:color="auto" w:fill="e5b8b7" w:themeFill="accent2" w:themeFillTint="000066" w:val="clear"/>
      </w:tcPr>
    </w:tblStylePr>
    <w:tblStylePr w:type="fir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shd w:color="auto" w:fill="943634" w:themeFill="accent2" w:themeFillShade="0000BF" w:val="clear"/>
      </w:tcPr>
    </w:tblStylePr>
    <w:tblStylePr w:type="la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shd w:color="auto" w:fill="d6e3bc" w:themeFill="accent3" w:themeFillTint="000066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shd w:color="auto" w:fill="d6e3bc" w:themeFill="accent3" w:themeFillTint="000066" w:val="clear"/>
      </w:tcPr>
    </w:tblStylePr>
    <w:tblStylePr w:type="fir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shd w:color="auto" w:fill="76923c" w:themeFill="accent3" w:themeFillShade="0000BF" w:val="clear"/>
      </w:tcPr>
    </w:tblStylePr>
    <w:tblStylePr w:type="la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shd w:color="auto" w:fill="ccc0d9" w:themeFill="accent4" w:themeFillTint="000066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shd w:color="auto" w:fill="ccc0d9" w:themeFill="accent4" w:themeFillTint="000066" w:val="clear"/>
      </w:tcPr>
    </w:tblStylePr>
    <w:tblStylePr w:type="fir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shd w:color="auto" w:fill="5f497a" w:themeFill="accent4" w:themeFillShade="0000BF" w:val="clear"/>
      </w:tcPr>
    </w:tblStylePr>
    <w:tblStylePr w:type="la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shd w:color="auto" w:fill="b6dde8" w:themeFill="accent5" w:themeFillTint="000066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shd w:color="auto" w:fill="b6dde8" w:themeFill="accent5" w:themeFillTint="000066" w:val="clear"/>
      </w:tcPr>
    </w:tblStylePr>
    <w:tblStylePr w:type="fir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shd w:color="auto" w:fill="31849b" w:themeFill="accent5" w:themeFillShade="0000BF" w:val="clear"/>
      </w:tcPr>
    </w:tblStylePr>
    <w:tblStylePr w:type="la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cs="Times New Roman" w:eastAsia="Times New Roman" w:hAnsi="Times New Roman"/>
      <w:color w:val="000000" w:themeColor="text1"/>
      <w:sz w:val="22"/>
      <w:szCs w:val="22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rFonts w:ascii="Times New Roman" w:cs="Times New Roman" w:eastAsia="Times New Roman" w:hAnsi="Times New Roman"/>
        <w:b w:val="1"/>
        <w:bCs w:val="1"/>
        <w:color w:val="111111"/>
        <w:sz w:val="22"/>
        <w:szCs w:val="22"/>
      </w:rPr>
      <w:tblPr/>
      <w:tcPr>
        <w:shd w:color="auto" w:fill="fbd4b4" w:themeFill="accent6" w:themeFillTint="000066" w:val="clear"/>
      </w:tcPr>
    </w:tblStylePr>
    <w:tblStylePr w:type="lastRow">
      <w:rPr>
        <w:rFonts w:ascii="Times New Roman" w:cs="Times New Roman" w:eastAsia="Times New Roman" w:hAnsi="Times New Roman"/>
        <w:b w:val="1"/>
        <w:bCs w:val="1"/>
        <w:color w:val="000000" w:themeColor="text1"/>
        <w:sz w:val="22"/>
        <w:szCs w:val="22"/>
      </w:rPr>
      <w:tblPr/>
      <w:tcPr>
        <w:shd w:color="auto" w:fill="fbd4b4" w:themeFill="accent6" w:themeFillTint="000066" w:val="clear"/>
      </w:tcPr>
    </w:tblStylePr>
    <w:tblStylePr w:type="fir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shd w:color="auto" w:fill="e36c0a" w:themeFill="accent6" w:themeFillShade="0000BF" w:val="clear"/>
      </w:tcPr>
    </w:tblStylePr>
    <w:tblStylePr w:type="lastCol">
      <w:rPr>
        <w:rFonts w:ascii="Times New Roman" w:cs="Times New Roman" w:eastAsia="Times New Roman" w:hAnsi="Times New Roman"/>
        <w:color w:val="ffffff" w:themeColor="background1"/>
        <w:sz w:val="22"/>
        <w:szCs w:val="22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0.0" w:type="dxa"/>
        <w:left w:w="40.0" w:type="dxa"/>
        <w:bottom w:w="20.0" w:type="dxa"/>
        <w:right w:w="4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0.0" w:type="dxa"/>
        <w:left w:w="40.0" w:type="dxa"/>
        <w:bottom w:w="20.0" w:type="dxa"/>
        <w:right w:w="4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0.0" w:type="dxa"/>
        <w:left w:w="40.0" w:type="dxa"/>
        <w:bottom w:w="20.0" w:type="dxa"/>
        <w:right w:w="4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0.0" w:type="dxa"/>
        <w:left w:w="40.0" w:type="dxa"/>
        <w:bottom w:w="20.0" w:type="dxa"/>
        <w:right w:w="4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0.0" w:type="dxa"/>
        <w:left w:w="40.0" w:type="dxa"/>
        <w:bottom w:w="20.0" w:type="dxa"/>
        <w:right w:w="4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0.0" w:type="dxa"/>
        <w:left w:w="40.0" w:type="dxa"/>
        <w:bottom w:w="20.0" w:type="dxa"/>
        <w:right w:w="4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0.0" w:type="dxa"/>
        <w:left w:w="40.0" w:type="dxa"/>
        <w:bottom w:w="20.0" w:type="dxa"/>
        <w:right w:w="4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0.0" w:type="dxa"/>
        <w:left w:w="40.0" w:type="dxa"/>
        <w:bottom w:w="20.0" w:type="dxa"/>
        <w:right w:w="4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0.0" w:type="dxa"/>
        <w:left w:w="40.0" w:type="dxa"/>
        <w:bottom w:w="20.0" w:type="dxa"/>
        <w:right w:w="4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f4kIn2rLEBSrLVjmYOsub1q9dA==">CgMxLjA4AHIhMUNEWVo1RWl1S2NJYVVBQmFoalpMMU1FUnRBOHFfTFJH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