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line="264" w:lineRule="auto"/>
      </w:pPr>
      <w:r>
        <w:rPr>
          <w:rFonts w:ascii="Calibri" w:hAnsi="Calibri"/>
          <w:b/>
          <w:color w:val="000000"/>
          <w:sz w:val="48"/>
        </w:rPr>
        <w:t>Ars Virtua Timeline</w:t>
      </w:r>
    </w:p>
    <w:p>
      <w:pPr>
        <w:spacing w:after="280" w:line="288" w:lineRule="auto"/>
      </w:pPr>
      <w:r>
        <w:rPr>
          <w:rFonts w:ascii="Calibri" w:hAnsi="Calibri"/>
          <w:color w:val="595959"/>
          <w:sz w:val="24"/>
        </w:rPr>
        <w:t>Compiled from the Ars Virtua GitHub repository and available web/archive traces</w:t>
      </w:r>
    </w:p>
    <w:tbl>
      <w:tblPr>
        <w:tblW w:type="dxa" w:w="9360"/>
        <w:jc w:val="left"/>
        <w:tblLook w:firstColumn="1" w:firstRow="1" w:lastColumn="0" w:lastRow="0" w:noHBand="0" w:noVBand="1" w:val="04A0"/>
        <w:tblLayout w:type="fixed"/>
        <w:tblInd w:w="120" w:type="dxa"/>
      </w:tblPr>
      <w:tblGrid>
        <w:gridCol w:w="9360"/>
      </w:tblGrid>
      <w:tr>
        <w:tc>
          <w:tcPr>
            <w:tcW w:type="dxa" w:w="9360"/>
            <w:shd w:fill="F7F9FC"/>
            <w:tcBorders>
              <w:top w:val="single" w:sz="6" w:space="0" w:color="D7DEE8"/>
              <w:left w:val="single" w:sz="6" w:space="0" w:color="D7DEE8"/>
              <w:bottom w:val="single" w:sz="6" w:space="0" w:color="D7DEE8"/>
              <w:right w:val="single" w:sz="6" w:space="0" w:color="D7DEE8"/>
            </w:tcBorders>
            <w:tcMar>
              <w:top w:w="120" w:type="dxa"/>
              <w:start w:w="160" w:type="dxa"/>
              <w:bottom w:w="120" w:type="dxa"/>
              <w:end w:w="160" w:type="dxa"/>
            </w:tcMar>
          </w:tcPr>
          <w:p>
            <w:pPr>
              <w:spacing w:after="0" w:line="288" w:lineRule="auto"/>
            </w:pPr>
            <w:r>
              <w:rPr>
                <w:rFonts w:ascii="Calibri" w:hAnsi="Calibri"/>
                <w:b/>
                <w:color w:val="222222"/>
                <w:sz w:val="21"/>
              </w:rPr>
              <w:t xml:space="preserve">Evidence note: </w:t>
            </w:r>
            <w:r>
              <w:rPr>
                <w:rFonts w:ascii="Calibri" w:hAnsi="Calibri"/>
                <w:color w:val="222222"/>
                <w:sz w:val="21"/>
              </w:rPr>
              <w:t>The repo/GitHub archive is treated as the primary chronology. Several older external project URLs are dead or have drifted, so Internet Archive CDX records are used only as corroborating web evidence where available. Undated archive entries are marked by period rather than given exact dates.</w:t>
            </w:r>
          </w:p>
        </w:tc>
      </w:tr>
    </w:tbl>
    <w:p>
      <w:pPr>
        <w:spacing w:before="0" w:after="80" w:line="300" w:lineRule="auto"/>
      </w:pPr>
    </w:p>
    <w:p>
      <w:pPr>
        <w:pStyle w:val="Heading1"/>
      </w:pPr>
      <w:r>
        <w:t>Timeline</w:t>
      </w:r>
    </w:p>
    <w:tbl>
      <w:tblPr>
        <w:tblW w:type="dxa" w:w="9360"/>
        <w:jc w:val="left"/>
        <w:tblLook w:firstColumn="1" w:firstRow="1" w:lastColumn="0" w:lastRow="0" w:noHBand="0" w:noVBand="1" w:val="04A0"/>
        <w:tblLayout w:type="fixed"/>
        <w:tblInd w:w="120" w:type="dxa"/>
      </w:tblPr>
      <w:tblGrid>
        <w:gridCol w:w="1944"/>
        <w:gridCol w:w="6120"/>
        <w:gridCol w:w="1296"/>
      </w:tblGrid>
      <w:tr>
        <w:tc>
          <w:tcPr>
            <w:tcW w:type="dxa" w:w="1944"/>
            <w:shd w:fill="E8EEF5"/>
            <w:tcBorders>
              <w:top w:val="single" w:sz="6" w:space="0" w:color="CBD5E1"/>
              <w:left w:val="single" w:sz="6" w:space="0" w:color="CBD5E1"/>
              <w:bottom w:val="single" w:sz="6" w:space="0" w:color="CBD5E1"/>
              <w:right w:val="single" w:sz="6" w:space="0" w:color="CBD5E1"/>
            </w:tcBorders>
            <w:tcMar>
              <w:top w:w="80" w:type="dxa"/>
              <w:start w:w="120" w:type="dxa"/>
              <w:bottom w:w="80" w:type="dxa"/>
              <w:end w:w="120" w:type="dxa"/>
            </w:tcMar>
            <w:vAlign w:val="center"/>
          </w:tcPr>
          <w:p>
            <w:pPr>
              <w:spacing w:after="0" w:line="276" w:lineRule="auto"/>
            </w:pPr>
            <w:r>
              <w:rPr>
                <w:rFonts w:ascii="Calibri" w:hAnsi="Calibri"/>
                <w:b/>
                <w:color w:val="222222"/>
                <w:sz w:val="21"/>
              </w:rPr>
              <w:t>Date / Period</w:t>
            </w:r>
          </w:p>
        </w:tc>
        <w:tc>
          <w:tcPr>
            <w:tcW w:type="dxa" w:w="6120"/>
            <w:shd w:fill="E8EEF5"/>
            <w:tcBorders>
              <w:top w:val="single" w:sz="6" w:space="0" w:color="CBD5E1"/>
              <w:left w:val="single" w:sz="6" w:space="0" w:color="CBD5E1"/>
              <w:bottom w:val="single" w:sz="6" w:space="0" w:color="CBD5E1"/>
              <w:right w:val="single" w:sz="6" w:space="0" w:color="CBD5E1"/>
            </w:tcBorders>
            <w:tcMar>
              <w:top w:w="80" w:type="dxa"/>
              <w:start w:w="120" w:type="dxa"/>
              <w:bottom w:w="80" w:type="dxa"/>
              <w:end w:w="120" w:type="dxa"/>
            </w:tcMar>
            <w:vAlign w:val="center"/>
          </w:tcPr>
          <w:p>
            <w:pPr>
              <w:spacing w:after="0" w:line="276" w:lineRule="auto"/>
            </w:pPr>
            <w:r>
              <w:rPr>
                <w:rFonts w:ascii="Calibri" w:hAnsi="Calibri"/>
                <w:b/>
                <w:color w:val="222222"/>
                <w:sz w:val="21"/>
              </w:rPr>
              <w:t>Event</w:t>
            </w:r>
          </w:p>
        </w:tc>
        <w:tc>
          <w:tcPr>
            <w:tcW w:type="dxa" w:w="1296"/>
            <w:shd w:fill="E8EEF5"/>
            <w:tcBorders>
              <w:top w:val="single" w:sz="6" w:space="0" w:color="CBD5E1"/>
              <w:left w:val="single" w:sz="6" w:space="0" w:color="CBD5E1"/>
              <w:bottom w:val="single" w:sz="6" w:space="0" w:color="CBD5E1"/>
              <w:right w:val="single" w:sz="6" w:space="0" w:color="CBD5E1"/>
            </w:tcBorders>
            <w:tcMar>
              <w:top w:w="80" w:type="dxa"/>
              <w:start w:w="120" w:type="dxa"/>
              <w:bottom w:w="80" w:type="dxa"/>
              <w:end w:w="120" w:type="dxa"/>
            </w:tcMar>
            <w:vAlign w:val="center"/>
          </w:tcPr>
          <w:p>
            <w:pPr>
              <w:spacing w:after="0" w:line="276" w:lineRule="auto"/>
            </w:pPr>
            <w:r>
              <w:rPr>
                <w:rFonts w:ascii="Calibri" w:hAnsi="Calibri"/>
                <w:b/>
                <w:color w:val="222222"/>
                <w:sz w:val="21"/>
              </w:rPr>
              <w:t>Sources</w:t>
            </w:r>
          </w:p>
        </w:tc>
      </w:tr>
      <w:tr>
        <w:tc>
          <w:tcPr>
            <w:tcW w:type="dxa" w:w="1944"/>
            <w:tcBorders>
              <w:top w:val="single" w:sz="6" w:space="0" w:color="CBD5E1"/>
              <w:left w:val="single" w:sz="6" w:space="0" w:color="CBD5E1"/>
              <w:bottom w:val="single" w:sz="6" w:space="0" w:color="CBD5E1"/>
              <w:right w:val="single" w:sz="6" w:space="0" w:color="CBD5E1"/>
            </w:tcBorders>
            <w:tcMar>
              <w:top w:w="100" w:type="dxa"/>
              <w:start w:w="120" w:type="dxa"/>
              <w:bottom w:w="100" w:type="dxa"/>
              <w:end w:w="120" w:type="dxa"/>
            </w:tcMar>
            <w:vAlign w:val="center"/>
          </w:tcPr>
          <w:p>
            <w:pPr>
              <w:spacing w:after="0" w:line="276" w:lineRule="auto"/>
            </w:pPr>
            <w:r>
              <w:rPr>
                <w:rFonts w:ascii="Calibri" w:hAnsi="Calibri"/>
                <w:b/>
                <w:color w:val="222222"/>
                <w:sz w:val="20"/>
              </w:rPr>
              <w:t>November 2005</w:t>
            </w:r>
          </w:p>
        </w:tc>
        <w:tc>
          <w:tcPr>
            <w:tcW w:type="dxa" w:w="6120"/>
            <w:tcBorders>
              <w:top w:val="single" w:sz="6" w:space="0" w:color="CBD5E1"/>
              <w:left w:val="single" w:sz="6" w:space="0" w:color="CBD5E1"/>
              <w:bottom w:val="single" w:sz="6" w:space="0" w:color="CBD5E1"/>
              <w:right w:val="single" w:sz="6" w:space="0" w:color="CBD5E1"/>
            </w:tcBorders>
            <w:tcMar>
              <w:top w:w="100" w:type="dxa"/>
              <w:start w:w="120" w:type="dxa"/>
              <w:bottom w:w="100" w:type="dxa"/>
              <w:end w:w="120" w:type="dxa"/>
            </w:tcMar>
            <w:vAlign w:val="center"/>
          </w:tcPr>
          <w:p>
            <w:pPr>
              <w:spacing w:after="0" w:line="283" w:lineRule="auto"/>
            </w:pPr>
            <w:r>
              <w:rPr>
                <w:rFonts w:ascii="Calibri" w:hAnsi="Calibri"/>
                <w:color w:val="222222"/>
                <w:sz w:val="20"/>
              </w:rPr>
              <w:t>Ars Virtua is founded as a new media center/gallery in Second Life.</w:t>
            </w:r>
          </w:p>
        </w:tc>
        <w:tc>
          <w:tcPr>
            <w:tcW w:type="dxa" w:w="1296"/>
            <w:tcBorders>
              <w:top w:val="single" w:sz="6" w:space="0" w:color="CBD5E1"/>
              <w:left w:val="single" w:sz="6" w:space="0" w:color="CBD5E1"/>
              <w:bottom w:val="single" w:sz="6" w:space="0" w:color="CBD5E1"/>
              <w:right w:val="single" w:sz="6" w:space="0" w:color="CBD5E1"/>
            </w:tcBorders>
            <w:tcMar>
              <w:top w:w="100" w:type="dxa"/>
              <w:start w:w="120" w:type="dxa"/>
              <w:bottom w:w="100" w:type="dxa"/>
              <w:end w:w="120" w:type="dxa"/>
            </w:tcMar>
            <w:vAlign w:val="center"/>
          </w:tcPr>
          <w:p>
            <w:pPr>
              <w:spacing w:after="0" w:line="276" w:lineRule="auto"/>
              <w:jc w:val="left"/>
            </w:pPr>
            <w:hyperlink r:id="rId10">
              <w:r>
                <w:rPr>
                  <w:rFonts w:ascii="Calibri" w:hAnsi="Calibri"/>
                  <w:color w:val="0563C1"/>
                  <w:u w:val="single"/>
                  <w:sz w:val="22"/>
                </w:rPr>
                <w:t>S2</w:t>
              </w:r>
            </w:hyperlink>
            <w:r>
              <w:rPr>
                <w:rFonts w:ascii="Calibri" w:hAnsi="Calibri"/>
                <w:color w:val="222222"/>
                <w:sz w:val="20"/>
              </w:rPr>
              <w:t xml:space="preserve">, </w:t>
            </w:r>
            <w:hyperlink r:id="rId11">
              <w:r>
                <w:rPr>
                  <w:rFonts w:ascii="Calibri" w:hAnsi="Calibri"/>
                  <w:color w:val="0563C1"/>
                  <w:u w:val="single"/>
                  <w:sz w:val="22"/>
                </w:rPr>
                <w:t>S3</w:t>
              </w:r>
            </w:hyperlink>
          </w:p>
        </w:tc>
      </w:tr>
      <w:tr>
        <w:tc>
          <w:tcPr>
            <w:tcW w:type="dxa" w:w="1944"/>
            <w:tcBorders>
              <w:top w:val="single" w:sz="6" w:space="0" w:color="CBD5E1"/>
              <w:left w:val="single" w:sz="6" w:space="0" w:color="CBD5E1"/>
              <w:bottom w:val="single" w:sz="6" w:space="0" w:color="CBD5E1"/>
              <w:right w:val="single" w:sz="6" w:space="0" w:color="CBD5E1"/>
            </w:tcBorders>
            <w:tcMar>
              <w:top w:w="100" w:type="dxa"/>
              <w:start w:w="120" w:type="dxa"/>
              <w:bottom w:w="100" w:type="dxa"/>
              <w:end w:w="120" w:type="dxa"/>
            </w:tcMar>
            <w:vAlign w:val="center"/>
          </w:tcPr>
          <w:p>
            <w:pPr>
              <w:spacing w:after="0" w:line="276" w:lineRule="auto"/>
            </w:pPr>
            <w:r>
              <w:rPr>
                <w:rFonts w:ascii="Calibri" w:hAnsi="Calibri"/>
                <w:b/>
                <w:color w:val="222222"/>
                <w:sz w:val="20"/>
              </w:rPr>
              <w:t>April 2006</w:t>
            </w:r>
          </w:p>
        </w:tc>
        <w:tc>
          <w:tcPr>
            <w:tcW w:type="dxa" w:w="6120"/>
            <w:tcBorders>
              <w:top w:val="single" w:sz="6" w:space="0" w:color="CBD5E1"/>
              <w:left w:val="single" w:sz="6" w:space="0" w:color="CBD5E1"/>
              <w:bottom w:val="single" w:sz="6" w:space="0" w:color="CBD5E1"/>
              <w:right w:val="single" w:sz="6" w:space="0" w:color="CBD5E1"/>
            </w:tcBorders>
            <w:tcMar>
              <w:top w:w="100" w:type="dxa"/>
              <w:start w:w="120" w:type="dxa"/>
              <w:bottom w:w="100" w:type="dxa"/>
              <w:end w:w="120" w:type="dxa"/>
            </w:tcMar>
            <w:vAlign w:val="center"/>
          </w:tcPr>
          <w:p>
            <w:pPr>
              <w:spacing w:after="0" w:line="283" w:lineRule="auto"/>
            </w:pPr>
            <w:r>
              <w:rPr>
                <w:rFonts w:ascii="Calibri" w:hAnsi="Calibri"/>
                <w:color w:val="222222"/>
                <w:sz w:val="20"/>
              </w:rPr>
              <w:t>The first Ars Virtua show opens. The archive chronology begins with early shows including The Real, How have you been an artist today?, Transposition, and Second Life Landscape Initiative.</w:t>
            </w:r>
          </w:p>
        </w:tc>
        <w:tc>
          <w:tcPr>
            <w:tcW w:type="dxa" w:w="1296"/>
            <w:tcBorders>
              <w:top w:val="single" w:sz="6" w:space="0" w:color="CBD5E1"/>
              <w:left w:val="single" w:sz="6" w:space="0" w:color="CBD5E1"/>
              <w:bottom w:val="single" w:sz="6" w:space="0" w:color="CBD5E1"/>
              <w:right w:val="single" w:sz="6" w:space="0" w:color="CBD5E1"/>
            </w:tcBorders>
            <w:tcMar>
              <w:top w:w="100" w:type="dxa"/>
              <w:start w:w="120" w:type="dxa"/>
              <w:bottom w:w="100" w:type="dxa"/>
              <w:end w:w="120" w:type="dxa"/>
            </w:tcMar>
            <w:vAlign w:val="center"/>
          </w:tcPr>
          <w:p>
            <w:pPr>
              <w:spacing w:after="0" w:line="276" w:lineRule="auto"/>
              <w:jc w:val="left"/>
            </w:pPr>
            <w:hyperlink r:id="rId10">
              <w:r>
                <w:rPr>
                  <w:rFonts w:ascii="Calibri" w:hAnsi="Calibri"/>
                  <w:color w:val="0563C1"/>
                  <w:u w:val="single"/>
                  <w:sz w:val="22"/>
                </w:rPr>
                <w:t>S2</w:t>
              </w:r>
            </w:hyperlink>
          </w:p>
        </w:tc>
      </w:tr>
      <w:tr>
        <w:tc>
          <w:tcPr>
            <w:tcW w:type="dxa" w:w="1944"/>
            <w:tcBorders>
              <w:top w:val="single" w:sz="6" w:space="0" w:color="CBD5E1"/>
              <w:left w:val="single" w:sz="6" w:space="0" w:color="CBD5E1"/>
              <w:bottom w:val="single" w:sz="6" w:space="0" w:color="CBD5E1"/>
              <w:right w:val="single" w:sz="6" w:space="0" w:color="CBD5E1"/>
            </w:tcBorders>
            <w:tcMar>
              <w:top w:w="100" w:type="dxa"/>
              <w:start w:w="120" w:type="dxa"/>
              <w:bottom w:w="100" w:type="dxa"/>
              <w:end w:w="120" w:type="dxa"/>
            </w:tcMar>
            <w:vAlign w:val="center"/>
          </w:tcPr>
          <w:p>
            <w:pPr>
              <w:spacing w:after="0" w:line="276" w:lineRule="auto"/>
            </w:pPr>
            <w:r>
              <w:rPr>
                <w:rFonts w:ascii="Calibri" w:hAnsi="Calibri"/>
                <w:b/>
                <w:color w:val="222222"/>
                <w:sz w:val="20"/>
              </w:rPr>
              <w:t>July 10, 2006</w:t>
            </w:r>
          </w:p>
        </w:tc>
        <w:tc>
          <w:tcPr>
            <w:tcW w:type="dxa" w:w="6120"/>
            <w:tcBorders>
              <w:top w:val="single" w:sz="6" w:space="0" w:color="CBD5E1"/>
              <w:left w:val="single" w:sz="6" w:space="0" w:color="CBD5E1"/>
              <w:bottom w:val="single" w:sz="6" w:space="0" w:color="CBD5E1"/>
              <w:right w:val="single" w:sz="6" w:space="0" w:color="CBD5E1"/>
            </w:tcBorders>
            <w:tcMar>
              <w:top w:w="100" w:type="dxa"/>
              <w:start w:w="120" w:type="dxa"/>
              <w:bottom w:w="100" w:type="dxa"/>
              <w:end w:w="120" w:type="dxa"/>
            </w:tcMar>
            <w:vAlign w:val="center"/>
          </w:tcPr>
          <w:p>
            <w:pPr>
              <w:spacing w:after="0" w:line="283" w:lineRule="auto"/>
            </w:pPr>
            <w:r>
              <w:rPr>
                <w:rFonts w:ascii="Calibri" w:hAnsi="Calibri"/>
                <w:color w:val="222222"/>
                <w:sz w:val="20"/>
              </w:rPr>
              <w:t>Internet Archive records confirm that arsvirtua.com had a public web presence by this date.</w:t>
            </w:r>
          </w:p>
        </w:tc>
        <w:tc>
          <w:tcPr>
            <w:tcW w:type="dxa" w:w="1296"/>
            <w:tcBorders>
              <w:top w:val="single" w:sz="6" w:space="0" w:color="CBD5E1"/>
              <w:left w:val="single" w:sz="6" w:space="0" w:color="CBD5E1"/>
              <w:bottom w:val="single" w:sz="6" w:space="0" w:color="CBD5E1"/>
              <w:right w:val="single" w:sz="6" w:space="0" w:color="CBD5E1"/>
            </w:tcBorders>
            <w:tcMar>
              <w:top w:w="100" w:type="dxa"/>
              <w:start w:w="120" w:type="dxa"/>
              <w:bottom w:w="100" w:type="dxa"/>
              <w:end w:w="120" w:type="dxa"/>
            </w:tcMar>
            <w:vAlign w:val="center"/>
          </w:tcPr>
          <w:p>
            <w:pPr>
              <w:spacing w:after="0" w:line="276" w:lineRule="auto"/>
              <w:jc w:val="left"/>
            </w:pPr>
            <w:hyperlink r:id="rId12">
              <w:r>
                <w:rPr>
                  <w:rFonts w:ascii="Calibri" w:hAnsi="Calibri"/>
                  <w:color w:val="0563C1"/>
                  <w:u w:val="single"/>
                  <w:sz w:val="22"/>
                </w:rPr>
                <w:t>S13</w:t>
              </w:r>
            </w:hyperlink>
          </w:p>
        </w:tc>
      </w:tr>
      <w:tr>
        <w:tc>
          <w:tcPr>
            <w:tcW w:type="dxa" w:w="1944"/>
            <w:tcBorders>
              <w:top w:val="single" w:sz="6" w:space="0" w:color="CBD5E1"/>
              <w:left w:val="single" w:sz="6" w:space="0" w:color="CBD5E1"/>
              <w:bottom w:val="single" w:sz="6" w:space="0" w:color="CBD5E1"/>
              <w:right w:val="single" w:sz="6" w:space="0" w:color="CBD5E1"/>
            </w:tcBorders>
            <w:tcMar>
              <w:top w:w="100" w:type="dxa"/>
              <w:start w:w="120" w:type="dxa"/>
              <w:bottom w:w="100" w:type="dxa"/>
              <w:end w:w="120" w:type="dxa"/>
            </w:tcMar>
            <w:vAlign w:val="center"/>
          </w:tcPr>
          <w:p>
            <w:pPr>
              <w:spacing w:after="0" w:line="276" w:lineRule="auto"/>
            </w:pPr>
            <w:r>
              <w:rPr>
                <w:rFonts w:ascii="Calibri" w:hAnsi="Calibri"/>
                <w:b/>
                <w:color w:val="222222"/>
                <w:sz w:val="20"/>
              </w:rPr>
              <w:t>2006</w:t>
            </w:r>
          </w:p>
        </w:tc>
        <w:tc>
          <w:tcPr>
            <w:tcW w:type="dxa" w:w="6120"/>
            <w:tcBorders>
              <w:top w:val="single" w:sz="6" w:space="0" w:color="CBD5E1"/>
              <w:left w:val="single" w:sz="6" w:space="0" w:color="CBD5E1"/>
              <w:bottom w:val="single" w:sz="6" w:space="0" w:color="CBD5E1"/>
              <w:right w:val="single" w:sz="6" w:space="0" w:color="CBD5E1"/>
            </w:tcBorders>
            <w:tcMar>
              <w:top w:w="100" w:type="dxa"/>
              <w:start w:w="120" w:type="dxa"/>
              <w:bottom w:w="100" w:type="dxa"/>
              <w:end w:w="120" w:type="dxa"/>
            </w:tcMar>
            <w:vAlign w:val="center"/>
          </w:tcPr>
          <w:p>
            <w:pPr>
              <w:spacing w:after="0" w:line="283" w:lineRule="auto"/>
            </w:pPr>
            <w:r>
              <w:rPr>
                <w:rFonts w:ascii="Calibri" w:hAnsi="Calibri"/>
                <w:color w:val="222222"/>
                <w:sz w:val="20"/>
              </w:rPr>
              <w:t>Ars Virtua’s early gallery program develops around Second Life-native art, avatars, performance, and synthetic-world practice. The archive list includes honesty is our policy, immersivity through synchronization, 13 Most Beautiful Avatars, Imaging Place, and Second Front performance work.</w:t>
            </w:r>
          </w:p>
        </w:tc>
        <w:tc>
          <w:tcPr>
            <w:tcW w:type="dxa" w:w="1296"/>
            <w:tcBorders>
              <w:top w:val="single" w:sz="6" w:space="0" w:color="CBD5E1"/>
              <w:left w:val="single" w:sz="6" w:space="0" w:color="CBD5E1"/>
              <w:bottom w:val="single" w:sz="6" w:space="0" w:color="CBD5E1"/>
              <w:right w:val="single" w:sz="6" w:space="0" w:color="CBD5E1"/>
            </w:tcBorders>
            <w:tcMar>
              <w:top w:w="100" w:type="dxa"/>
              <w:start w:w="120" w:type="dxa"/>
              <w:bottom w:w="100" w:type="dxa"/>
              <w:end w:w="120" w:type="dxa"/>
            </w:tcMar>
            <w:vAlign w:val="center"/>
          </w:tcPr>
          <w:p>
            <w:pPr>
              <w:spacing w:after="0" w:line="276" w:lineRule="auto"/>
              <w:jc w:val="left"/>
            </w:pPr>
            <w:hyperlink r:id="rId10">
              <w:r>
                <w:rPr>
                  <w:rFonts w:ascii="Calibri" w:hAnsi="Calibri"/>
                  <w:color w:val="0563C1"/>
                  <w:u w:val="single"/>
                  <w:sz w:val="22"/>
                </w:rPr>
                <w:t>S2</w:t>
              </w:r>
            </w:hyperlink>
          </w:p>
        </w:tc>
      </w:tr>
      <w:tr>
        <w:tc>
          <w:tcPr>
            <w:tcW w:type="dxa" w:w="1944"/>
            <w:tcBorders>
              <w:top w:val="single" w:sz="6" w:space="0" w:color="CBD5E1"/>
              <w:left w:val="single" w:sz="6" w:space="0" w:color="CBD5E1"/>
              <w:bottom w:val="single" w:sz="6" w:space="0" w:color="CBD5E1"/>
              <w:right w:val="single" w:sz="6" w:space="0" w:color="CBD5E1"/>
            </w:tcBorders>
            <w:tcMar>
              <w:top w:w="100" w:type="dxa"/>
              <w:start w:w="120" w:type="dxa"/>
              <w:bottom w:w="100" w:type="dxa"/>
              <w:end w:w="120" w:type="dxa"/>
            </w:tcMar>
            <w:vAlign w:val="center"/>
          </w:tcPr>
          <w:p>
            <w:pPr>
              <w:spacing w:after="0" w:line="276" w:lineRule="auto"/>
            </w:pPr>
            <w:r>
              <w:rPr>
                <w:rFonts w:ascii="Calibri" w:hAnsi="Calibri"/>
                <w:b/>
                <w:color w:val="222222"/>
                <w:sz w:val="20"/>
              </w:rPr>
              <w:t>2006-2007</w:t>
            </w:r>
          </w:p>
        </w:tc>
        <w:tc>
          <w:tcPr>
            <w:tcW w:type="dxa" w:w="6120"/>
            <w:tcBorders>
              <w:top w:val="single" w:sz="6" w:space="0" w:color="CBD5E1"/>
              <w:left w:val="single" w:sz="6" w:space="0" w:color="CBD5E1"/>
              <w:bottom w:val="single" w:sz="6" w:space="0" w:color="CBD5E1"/>
              <w:right w:val="single" w:sz="6" w:space="0" w:color="CBD5E1"/>
            </w:tcBorders>
            <w:tcMar>
              <w:top w:w="100" w:type="dxa"/>
              <w:start w:w="120" w:type="dxa"/>
              <w:bottom w:w="100" w:type="dxa"/>
              <w:end w:w="120" w:type="dxa"/>
            </w:tcMar>
            <w:vAlign w:val="center"/>
          </w:tcPr>
          <w:p>
            <w:pPr>
              <w:spacing w:after="0" w:line="283" w:lineRule="auto"/>
            </w:pPr>
            <w:r>
              <w:rPr>
                <w:rFonts w:ascii="Calibri" w:hAnsi="Calibri"/>
                <w:color w:val="222222"/>
                <w:sz w:val="20"/>
              </w:rPr>
              <w:t>AVAIR, the Ars Virtua Artist-in-Residence program, runs as a commission of New Radio and Performing Arts / Turbulence with Jerome Foundation support.</w:t>
            </w:r>
          </w:p>
        </w:tc>
        <w:tc>
          <w:tcPr>
            <w:tcW w:type="dxa" w:w="1296"/>
            <w:tcBorders>
              <w:top w:val="single" w:sz="6" w:space="0" w:color="CBD5E1"/>
              <w:left w:val="single" w:sz="6" w:space="0" w:color="CBD5E1"/>
              <w:bottom w:val="single" w:sz="6" w:space="0" w:color="CBD5E1"/>
              <w:right w:val="single" w:sz="6" w:space="0" w:color="CBD5E1"/>
            </w:tcBorders>
            <w:tcMar>
              <w:top w:w="100" w:type="dxa"/>
              <w:start w:w="120" w:type="dxa"/>
              <w:bottom w:w="100" w:type="dxa"/>
              <w:end w:w="120" w:type="dxa"/>
            </w:tcMar>
            <w:vAlign w:val="center"/>
          </w:tcPr>
          <w:p>
            <w:pPr>
              <w:spacing w:after="0" w:line="276" w:lineRule="auto"/>
              <w:jc w:val="left"/>
            </w:pPr>
            <w:hyperlink r:id="rId10">
              <w:r>
                <w:rPr>
                  <w:rFonts w:ascii="Calibri" w:hAnsi="Calibri"/>
                  <w:color w:val="0563C1"/>
                  <w:u w:val="single"/>
                  <w:sz w:val="22"/>
                </w:rPr>
                <w:t>S2</w:t>
              </w:r>
            </w:hyperlink>
            <w:r>
              <w:rPr>
                <w:rFonts w:ascii="Calibri" w:hAnsi="Calibri"/>
                <w:color w:val="222222"/>
                <w:sz w:val="20"/>
              </w:rPr>
              <w:t xml:space="preserve">, </w:t>
            </w:r>
            <w:hyperlink r:id="rId13">
              <w:r>
                <w:rPr>
                  <w:rFonts w:ascii="Calibri" w:hAnsi="Calibri"/>
                  <w:color w:val="0563C1"/>
                  <w:u w:val="single"/>
                  <w:sz w:val="22"/>
                </w:rPr>
                <w:t>S6</w:t>
              </w:r>
            </w:hyperlink>
            <w:r>
              <w:rPr>
                <w:rFonts w:ascii="Calibri" w:hAnsi="Calibri"/>
                <w:color w:val="222222"/>
                <w:sz w:val="20"/>
              </w:rPr>
              <w:t xml:space="preserve">, </w:t>
            </w:r>
            <w:hyperlink r:id="rId14">
              <w:r>
                <w:rPr>
                  <w:rFonts w:ascii="Calibri" w:hAnsi="Calibri"/>
                  <w:color w:val="0563C1"/>
                  <w:u w:val="single"/>
                  <w:sz w:val="22"/>
                </w:rPr>
                <w:t>S14</w:t>
              </w:r>
            </w:hyperlink>
          </w:p>
        </w:tc>
      </w:tr>
      <w:tr>
        <w:tc>
          <w:tcPr>
            <w:tcW w:type="dxa" w:w="1944"/>
            <w:tcBorders>
              <w:top w:val="single" w:sz="6" w:space="0" w:color="CBD5E1"/>
              <w:left w:val="single" w:sz="6" w:space="0" w:color="CBD5E1"/>
              <w:bottom w:val="single" w:sz="6" w:space="0" w:color="CBD5E1"/>
              <w:right w:val="single" w:sz="6" w:space="0" w:color="CBD5E1"/>
            </w:tcBorders>
            <w:tcMar>
              <w:top w:w="100" w:type="dxa"/>
              <w:start w:w="120" w:type="dxa"/>
              <w:bottom w:w="100" w:type="dxa"/>
              <w:end w:w="120" w:type="dxa"/>
            </w:tcMar>
            <w:vAlign w:val="center"/>
          </w:tcPr>
          <w:p>
            <w:pPr>
              <w:spacing w:after="0" w:line="276" w:lineRule="auto"/>
            </w:pPr>
            <w:r>
              <w:rPr>
                <w:rFonts w:ascii="Calibri" w:hAnsi="Calibri"/>
                <w:b/>
                <w:color w:val="222222"/>
                <w:sz w:val="20"/>
              </w:rPr>
              <w:t>March 2, 2007</w:t>
            </w:r>
          </w:p>
        </w:tc>
        <w:tc>
          <w:tcPr>
            <w:tcW w:type="dxa" w:w="6120"/>
            <w:tcBorders>
              <w:top w:val="single" w:sz="6" w:space="0" w:color="CBD5E1"/>
              <w:left w:val="single" w:sz="6" w:space="0" w:color="CBD5E1"/>
              <w:bottom w:val="single" w:sz="6" w:space="0" w:color="CBD5E1"/>
              <w:right w:val="single" w:sz="6" w:space="0" w:color="CBD5E1"/>
            </w:tcBorders>
            <w:tcMar>
              <w:top w:w="100" w:type="dxa"/>
              <w:start w:w="120" w:type="dxa"/>
              <w:bottom w:w="100" w:type="dxa"/>
              <w:end w:w="120" w:type="dxa"/>
            </w:tcMar>
            <w:vAlign w:val="center"/>
          </w:tcPr>
          <w:p>
            <w:pPr>
              <w:spacing w:after="0" w:line="283" w:lineRule="auto"/>
            </w:pPr>
            <w:r>
              <w:rPr>
                <w:rFonts w:ascii="Calibri" w:hAnsi="Calibri"/>
                <w:color w:val="222222"/>
                <w:sz w:val="20"/>
              </w:rPr>
              <w:t>The Upgrade! Second Life event connected with The Upgrade! Paris is held at BitFactory.</w:t>
            </w:r>
          </w:p>
        </w:tc>
        <w:tc>
          <w:tcPr>
            <w:tcW w:type="dxa" w:w="1296"/>
            <w:tcBorders>
              <w:top w:val="single" w:sz="6" w:space="0" w:color="CBD5E1"/>
              <w:left w:val="single" w:sz="6" w:space="0" w:color="CBD5E1"/>
              <w:bottom w:val="single" w:sz="6" w:space="0" w:color="CBD5E1"/>
              <w:right w:val="single" w:sz="6" w:space="0" w:color="CBD5E1"/>
            </w:tcBorders>
            <w:tcMar>
              <w:top w:w="100" w:type="dxa"/>
              <w:start w:w="120" w:type="dxa"/>
              <w:bottom w:w="100" w:type="dxa"/>
              <w:end w:w="120" w:type="dxa"/>
            </w:tcMar>
            <w:vAlign w:val="center"/>
          </w:tcPr>
          <w:p>
            <w:pPr>
              <w:spacing w:after="0" w:line="276" w:lineRule="auto"/>
              <w:jc w:val="left"/>
            </w:pPr>
            <w:hyperlink r:id="rId15">
              <w:r>
                <w:rPr>
                  <w:rFonts w:ascii="Calibri" w:hAnsi="Calibri"/>
                  <w:color w:val="0563C1"/>
                  <w:u w:val="single"/>
                  <w:sz w:val="22"/>
                </w:rPr>
                <w:t>S7</w:t>
              </w:r>
            </w:hyperlink>
          </w:p>
        </w:tc>
      </w:tr>
      <w:tr>
        <w:tc>
          <w:tcPr>
            <w:tcW w:type="dxa" w:w="1944"/>
            <w:tcBorders>
              <w:top w:val="single" w:sz="6" w:space="0" w:color="CBD5E1"/>
              <w:left w:val="single" w:sz="6" w:space="0" w:color="CBD5E1"/>
              <w:bottom w:val="single" w:sz="6" w:space="0" w:color="CBD5E1"/>
              <w:right w:val="single" w:sz="6" w:space="0" w:color="CBD5E1"/>
            </w:tcBorders>
            <w:tcMar>
              <w:top w:w="100" w:type="dxa"/>
              <w:start w:w="120" w:type="dxa"/>
              <w:bottom w:w="100" w:type="dxa"/>
              <w:end w:w="120" w:type="dxa"/>
            </w:tcMar>
            <w:vAlign w:val="center"/>
          </w:tcPr>
          <w:p>
            <w:pPr>
              <w:spacing w:after="0" w:line="276" w:lineRule="auto"/>
            </w:pPr>
            <w:r>
              <w:rPr>
                <w:rFonts w:ascii="Calibri" w:hAnsi="Calibri"/>
                <w:b/>
                <w:color w:val="222222"/>
                <w:sz w:val="20"/>
              </w:rPr>
              <w:t>March 17, 2007</w:t>
            </w:r>
          </w:p>
        </w:tc>
        <w:tc>
          <w:tcPr>
            <w:tcW w:type="dxa" w:w="6120"/>
            <w:tcBorders>
              <w:top w:val="single" w:sz="6" w:space="0" w:color="CBD5E1"/>
              <w:left w:val="single" w:sz="6" w:space="0" w:color="CBD5E1"/>
              <w:bottom w:val="single" w:sz="6" w:space="0" w:color="CBD5E1"/>
              <w:right w:val="single" w:sz="6" w:space="0" w:color="CBD5E1"/>
            </w:tcBorders>
            <w:tcMar>
              <w:top w:w="100" w:type="dxa"/>
              <w:start w:w="120" w:type="dxa"/>
              <w:bottom w:w="100" w:type="dxa"/>
              <w:end w:w="120" w:type="dxa"/>
            </w:tcMar>
            <w:vAlign w:val="center"/>
          </w:tcPr>
          <w:p>
            <w:pPr>
              <w:spacing w:after="0" w:line="283" w:lineRule="auto"/>
            </w:pPr>
            <w:r>
              <w:rPr>
                <w:rFonts w:ascii="Calibri" w:hAnsi="Calibri"/>
                <w:color w:val="222222"/>
                <w:sz w:val="20"/>
              </w:rPr>
              <w:t>Tribute to Jean Baudrillard is held in World of Warcraft and telecast into Second Life.</w:t>
            </w:r>
          </w:p>
        </w:tc>
        <w:tc>
          <w:tcPr>
            <w:tcW w:type="dxa" w:w="1296"/>
            <w:tcBorders>
              <w:top w:val="single" w:sz="6" w:space="0" w:color="CBD5E1"/>
              <w:left w:val="single" w:sz="6" w:space="0" w:color="CBD5E1"/>
              <w:bottom w:val="single" w:sz="6" w:space="0" w:color="CBD5E1"/>
              <w:right w:val="single" w:sz="6" w:space="0" w:color="CBD5E1"/>
            </w:tcBorders>
            <w:tcMar>
              <w:top w:w="100" w:type="dxa"/>
              <w:start w:w="120" w:type="dxa"/>
              <w:bottom w:w="100" w:type="dxa"/>
              <w:end w:w="120" w:type="dxa"/>
            </w:tcMar>
            <w:vAlign w:val="center"/>
          </w:tcPr>
          <w:p>
            <w:pPr>
              <w:spacing w:after="0" w:line="276" w:lineRule="auto"/>
              <w:jc w:val="left"/>
            </w:pPr>
            <w:hyperlink r:id="rId16">
              <w:r>
                <w:rPr>
                  <w:rFonts w:ascii="Calibri" w:hAnsi="Calibri"/>
                  <w:color w:val="0563C1"/>
                  <w:u w:val="single"/>
                  <w:sz w:val="22"/>
                </w:rPr>
                <w:t>S8</w:t>
              </w:r>
            </w:hyperlink>
          </w:p>
        </w:tc>
      </w:tr>
      <w:tr>
        <w:tc>
          <w:tcPr>
            <w:tcW w:type="dxa" w:w="1944"/>
            <w:tcBorders>
              <w:top w:val="single" w:sz="6" w:space="0" w:color="CBD5E1"/>
              <w:left w:val="single" w:sz="6" w:space="0" w:color="CBD5E1"/>
              <w:bottom w:val="single" w:sz="6" w:space="0" w:color="CBD5E1"/>
              <w:right w:val="single" w:sz="6" w:space="0" w:color="CBD5E1"/>
            </w:tcBorders>
            <w:tcMar>
              <w:top w:w="100" w:type="dxa"/>
              <w:start w:w="120" w:type="dxa"/>
              <w:bottom w:w="100" w:type="dxa"/>
              <w:end w:w="120" w:type="dxa"/>
            </w:tcMar>
            <w:vAlign w:val="center"/>
          </w:tcPr>
          <w:p>
            <w:pPr>
              <w:spacing w:after="0" w:line="276" w:lineRule="auto"/>
            </w:pPr>
            <w:r>
              <w:rPr>
                <w:rFonts w:ascii="Calibri" w:hAnsi="Calibri"/>
                <w:b/>
                <w:color w:val="222222"/>
                <w:sz w:val="20"/>
              </w:rPr>
              <w:t>April 25-28, 2007</w:t>
            </w:r>
          </w:p>
        </w:tc>
        <w:tc>
          <w:tcPr>
            <w:tcW w:type="dxa" w:w="6120"/>
            <w:tcBorders>
              <w:top w:val="single" w:sz="6" w:space="0" w:color="CBD5E1"/>
              <w:left w:val="single" w:sz="6" w:space="0" w:color="CBD5E1"/>
              <w:bottom w:val="single" w:sz="6" w:space="0" w:color="CBD5E1"/>
              <w:right w:val="single" w:sz="6" w:space="0" w:color="CBD5E1"/>
            </w:tcBorders>
            <w:tcMar>
              <w:top w:w="100" w:type="dxa"/>
              <w:start w:w="120" w:type="dxa"/>
              <w:bottom w:w="100" w:type="dxa"/>
              <w:end w:w="120" w:type="dxa"/>
            </w:tcMar>
            <w:vAlign w:val="center"/>
          </w:tcPr>
          <w:p>
            <w:pPr>
              <w:spacing w:after="0" w:line="283" w:lineRule="auto"/>
            </w:pPr>
            <w:r>
              <w:rPr>
                <w:rFonts w:ascii="Calibri" w:hAnsi="Calibri"/>
                <w:color w:val="222222"/>
                <w:sz w:val="20"/>
              </w:rPr>
              <w:t>Ars Virtua hosts Borders, Boundaries &amp; Liminal Spaces, a three-day conference in Second Life, with a pre-program on April 25 and conference dates April 26-28.</w:t>
            </w:r>
          </w:p>
        </w:tc>
        <w:tc>
          <w:tcPr>
            <w:tcW w:type="dxa" w:w="1296"/>
            <w:tcBorders>
              <w:top w:val="single" w:sz="6" w:space="0" w:color="CBD5E1"/>
              <w:left w:val="single" w:sz="6" w:space="0" w:color="CBD5E1"/>
              <w:bottom w:val="single" w:sz="6" w:space="0" w:color="CBD5E1"/>
              <w:right w:val="single" w:sz="6" w:space="0" w:color="CBD5E1"/>
            </w:tcBorders>
            <w:tcMar>
              <w:top w:w="100" w:type="dxa"/>
              <w:start w:w="120" w:type="dxa"/>
              <w:bottom w:w="100" w:type="dxa"/>
              <w:end w:w="120" w:type="dxa"/>
            </w:tcMar>
            <w:vAlign w:val="center"/>
          </w:tcPr>
          <w:p>
            <w:pPr>
              <w:spacing w:after="0" w:line="276" w:lineRule="auto"/>
              <w:jc w:val="left"/>
            </w:pPr>
            <w:hyperlink r:id="rId17">
              <w:r>
                <w:rPr>
                  <w:rFonts w:ascii="Calibri" w:hAnsi="Calibri"/>
                  <w:color w:val="0563C1"/>
                  <w:u w:val="single"/>
                  <w:sz w:val="22"/>
                </w:rPr>
                <w:t>S4</w:t>
              </w:r>
            </w:hyperlink>
            <w:r>
              <w:rPr>
                <w:rFonts w:ascii="Calibri" w:hAnsi="Calibri"/>
                <w:color w:val="222222"/>
                <w:sz w:val="20"/>
              </w:rPr>
              <w:t xml:space="preserve">, </w:t>
            </w:r>
            <w:hyperlink r:id="rId18">
              <w:r>
                <w:rPr>
                  <w:rFonts w:ascii="Calibri" w:hAnsi="Calibri"/>
                  <w:color w:val="0563C1"/>
                  <w:u w:val="single"/>
                  <w:sz w:val="22"/>
                </w:rPr>
                <w:t>S5</w:t>
              </w:r>
            </w:hyperlink>
          </w:p>
        </w:tc>
      </w:tr>
      <w:tr>
        <w:tc>
          <w:tcPr>
            <w:tcW w:type="dxa" w:w="1944"/>
            <w:tcBorders>
              <w:top w:val="single" w:sz="6" w:space="0" w:color="CBD5E1"/>
              <w:left w:val="single" w:sz="6" w:space="0" w:color="CBD5E1"/>
              <w:bottom w:val="single" w:sz="6" w:space="0" w:color="CBD5E1"/>
              <w:right w:val="single" w:sz="6" w:space="0" w:color="CBD5E1"/>
            </w:tcBorders>
            <w:tcMar>
              <w:top w:w="100" w:type="dxa"/>
              <w:start w:w="120" w:type="dxa"/>
              <w:bottom w:w="100" w:type="dxa"/>
              <w:end w:w="120" w:type="dxa"/>
            </w:tcMar>
            <w:vAlign w:val="center"/>
          </w:tcPr>
          <w:p>
            <w:pPr>
              <w:spacing w:after="0" w:line="276" w:lineRule="auto"/>
            </w:pPr>
            <w:r>
              <w:rPr>
                <w:rFonts w:ascii="Calibri" w:hAnsi="Calibri"/>
                <w:b/>
                <w:color w:val="222222"/>
                <w:sz w:val="20"/>
              </w:rPr>
              <w:t>May 10, 2007</w:t>
            </w:r>
          </w:p>
        </w:tc>
        <w:tc>
          <w:tcPr>
            <w:tcW w:type="dxa" w:w="6120"/>
            <w:tcBorders>
              <w:top w:val="single" w:sz="6" w:space="0" w:color="CBD5E1"/>
              <w:left w:val="single" w:sz="6" w:space="0" w:color="CBD5E1"/>
              <w:bottom w:val="single" w:sz="6" w:space="0" w:color="CBD5E1"/>
              <w:right w:val="single" w:sz="6" w:space="0" w:color="CBD5E1"/>
            </w:tcBorders>
            <w:tcMar>
              <w:top w:w="100" w:type="dxa"/>
              <w:start w:w="120" w:type="dxa"/>
              <w:bottom w:w="100" w:type="dxa"/>
              <w:end w:w="120" w:type="dxa"/>
            </w:tcMar>
            <w:vAlign w:val="center"/>
          </w:tcPr>
          <w:p>
            <w:pPr>
              <w:spacing w:after="0" w:line="283" w:lineRule="auto"/>
            </w:pPr>
            <w:r>
              <w:rPr>
                <w:rFonts w:ascii="Calibri" w:hAnsi="Calibri"/>
                <w:color w:val="222222"/>
                <w:sz w:val="20"/>
              </w:rPr>
              <w:t>Upgrade! SL hosts an AVAIR-related event with Brad Kligerman. Upgrade! SL is described as a bi-monthly Second Life meeting sponsored by BitFactory and Ars Virtua.</w:t>
            </w:r>
          </w:p>
        </w:tc>
        <w:tc>
          <w:tcPr>
            <w:tcW w:type="dxa" w:w="1296"/>
            <w:tcBorders>
              <w:top w:val="single" w:sz="6" w:space="0" w:color="CBD5E1"/>
              <w:left w:val="single" w:sz="6" w:space="0" w:color="CBD5E1"/>
              <w:bottom w:val="single" w:sz="6" w:space="0" w:color="CBD5E1"/>
              <w:right w:val="single" w:sz="6" w:space="0" w:color="CBD5E1"/>
            </w:tcBorders>
            <w:tcMar>
              <w:top w:w="100" w:type="dxa"/>
              <w:start w:w="120" w:type="dxa"/>
              <w:bottom w:w="100" w:type="dxa"/>
              <w:end w:w="120" w:type="dxa"/>
            </w:tcMar>
            <w:vAlign w:val="center"/>
          </w:tcPr>
          <w:p>
            <w:pPr>
              <w:spacing w:after="0" w:line="276" w:lineRule="auto"/>
              <w:jc w:val="left"/>
            </w:pPr>
            <w:hyperlink r:id="rId13">
              <w:r>
                <w:rPr>
                  <w:rFonts w:ascii="Calibri" w:hAnsi="Calibri"/>
                  <w:color w:val="0563C1"/>
                  <w:u w:val="single"/>
                  <w:sz w:val="22"/>
                </w:rPr>
                <w:t>S6</w:t>
              </w:r>
            </w:hyperlink>
          </w:p>
        </w:tc>
      </w:tr>
      <w:tr>
        <w:tc>
          <w:tcPr>
            <w:tcW w:type="dxa" w:w="1944"/>
            <w:tcBorders>
              <w:top w:val="single" w:sz="6" w:space="0" w:color="CBD5E1"/>
              <w:left w:val="single" w:sz="6" w:space="0" w:color="CBD5E1"/>
              <w:bottom w:val="single" w:sz="6" w:space="0" w:color="CBD5E1"/>
              <w:right w:val="single" w:sz="6" w:space="0" w:color="CBD5E1"/>
            </w:tcBorders>
            <w:tcMar>
              <w:top w:w="100" w:type="dxa"/>
              <w:start w:w="120" w:type="dxa"/>
              <w:bottom w:w="100" w:type="dxa"/>
              <w:end w:w="120" w:type="dxa"/>
            </w:tcMar>
            <w:vAlign w:val="center"/>
          </w:tcPr>
          <w:p>
            <w:pPr>
              <w:spacing w:after="0" w:line="276" w:lineRule="auto"/>
            </w:pPr>
            <w:r>
              <w:rPr>
                <w:rFonts w:ascii="Calibri" w:hAnsi="Calibri"/>
                <w:b/>
                <w:color w:val="222222"/>
                <w:sz w:val="20"/>
              </w:rPr>
              <w:t>2007</w:t>
            </w:r>
          </w:p>
        </w:tc>
        <w:tc>
          <w:tcPr>
            <w:tcW w:type="dxa" w:w="6120"/>
            <w:tcBorders>
              <w:top w:val="single" w:sz="6" w:space="0" w:color="CBD5E1"/>
              <w:left w:val="single" w:sz="6" w:space="0" w:color="CBD5E1"/>
              <w:bottom w:val="single" w:sz="6" w:space="0" w:color="CBD5E1"/>
              <w:right w:val="single" w:sz="6" w:space="0" w:color="CBD5E1"/>
            </w:tcBorders>
            <w:tcMar>
              <w:top w:w="100" w:type="dxa"/>
              <w:start w:w="120" w:type="dxa"/>
              <w:bottom w:w="100" w:type="dxa"/>
              <w:end w:w="120" w:type="dxa"/>
            </w:tcMar>
            <w:vAlign w:val="center"/>
          </w:tcPr>
          <w:p>
            <w:pPr>
              <w:spacing w:after="0" w:line="283" w:lineRule="auto"/>
            </w:pPr>
            <w:r>
              <w:rPr>
                <w:rFonts w:ascii="Calibri" w:hAnsi="Calibri"/>
                <w:color w:val="222222"/>
                <w:sz w:val="20"/>
              </w:rPr>
              <w:t>Ars Virtua participates in broader networked-art programming, including Mixed Realities and the LIVE Biennial of Performance Art 2007 in Second Life.</w:t>
            </w:r>
          </w:p>
        </w:tc>
        <w:tc>
          <w:tcPr>
            <w:tcW w:type="dxa" w:w="1296"/>
            <w:tcBorders>
              <w:top w:val="single" w:sz="6" w:space="0" w:color="CBD5E1"/>
              <w:left w:val="single" w:sz="6" w:space="0" w:color="CBD5E1"/>
              <w:bottom w:val="single" w:sz="6" w:space="0" w:color="CBD5E1"/>
              <w:right w:val="single" w:sz="6" w:space="0" w:color="CBD5E1"/>
            </w:tcBorders>
            <w:tcMar>
              <w:top w:w="100" w:type="dxa"/>
              <w:start w:w="120" w:type="dxa"/>
              <w:bottom w:w="100" w:type="dxa"/>
              <w:end w:w="120" w:type="dxa"/>
            </w:tcMar>
            <w:vAlign w:val="center"/>
          </w:tcPr>
          <w:p>
            <w:pPr>
              <w:spacing w:after="0" w:line="276" w:lineRule="auto"/>
              <w:jc w:val="left"/>
            </w:pPr>
            <w:hyperlink r:id="rId10">
              <w:r>
                <w:rPr>
                  <w:rFonts w:ascii="Calibri" w:hAnsi="Calibri"/>
                  <w:color w:val="0563C1"/>
                  <w:u w:val="single"/>
                  <w:sz w:val="22"/>
                </w:rPr>
                <w:t>S2</w:t>
              </w:r>
            </w:hyperlink>
          </w:p>
        </w:tc>
      </w:tr>
      <w:tr>
        <w:tc>
          <w:tcPr>
            <w:tcW w:type="dxa" w:w="1944"/>
            <w:tcBorders>
              <w:top w:val="single" w:sz="6" w:space="0" w:color="CBD5E1"/>
              <w:left w:val="single" w:sz="6" w:space="0" w:color="CBD5E1"/>
              <w:bottom w:val="single" w:sz="6" w:space="0" w:color="CBD5E1"/>
              <w:right w:val="single" w:sz="6" w:space="0" w:color="CBD5E1"/>
            </w:tcBorders>
            <w:tcMar>
              <w:top w:w="100" w:type="dxa"/>
              <w:start w:w="120" w:type="dxa"/>
              <w:bottom w:w="100" w:type="dxa"/>
              <w:end w:w="120" w:type="dxa"/>
            </w:tcMar>
            <w:vAlign w:val="center"/>
          </w:tcPr>
          <w:p>
            <w:pPr>
              <w:spacing w:after="0" w:line="276" w:lineRule="auto"/>
            </w:pPr>
            <w:r>
              <w:rPr>
                <w:rFonts w:ascii="Calibri" w:hAnsi="Calibri"/>
                <w:b/>
                <w:color w:val="222222"/>
                <w:sz w:val="20"/>
              </w:rPr>
              <w:t>Late 2000s</w:t>
            </w:r>
          </w:p>
        </w:tc>
        <w:tc>
          <w:tcPr>
            <w:tcW w:type="dxa" w:w="6120"/>
            <w:tcBorders>
              <w:top w:val="single" w:sz="6" w:space="0" w:color="CBD5E1"/>
              <w:left w:val="single" w:sz="6" w:space="0" w:color="CBD5E1"/>
              <w:bottom w:val="single" w:sz="6" w:space="0" w:color="CBD5E1"/>
              <w:right w:val="single" w:sz="6" w:space="0" w:color="CBD5E1"/>
            </w:tcBorders>
            <w:tcMar>
              <w:top w:w="100" w:type="dxa"/>
              <w:start w:w="120" w:type="dxa"/>
              <w:bottom w:w="100" w:type="dxa"/>
              <w:end w:w="120" w:type="dxa"/>
            </w:tcMar>
            <w:vAlign w:val="center"/>
          </w:tcPr>
          <w:p>
            <w:pPr>
              <w:spacing w:after="0" w:line="283" w:lineRule="auto"/>
            </w:pPr>
            <w:r>
              <w:rPr>
                <w:rFonts w:ascii="Calibri" w:hAnsi="Calibri"/>
                <w:color w:val="222222"/>
                <w:sz w:val="20"/>
              </w:rPr>
              <w:t>The archive lists additional Ars Virtua-era projects and performances, including Franco and Eva Mattes recreations of Shoot, Seed Bed, and 7000 Oaks, plus Fandomania. Exact dates are not always present in the repo.</w:t>
            </w:r>
          </w:p>
        </w:tc>
        <w:tc>
          <w:tcPr>
            <w:tcW w:type="dxa" w:w="1296"/>
            <w:tcBorders>
              <w:top w:val="single" w:sz="6" w:space="0" w:color="CBD5E1"/>
              <w:left w:val="single" w:sz="6" w:space="0" w:color="CBD5E1"/>
              <w:bottom w:val="single" w:sz="6" w:space="0" w:color="CBD5E1"/>
              <w:right w:val="single" w:sz="6" w:space="0" w:color="CBD5E1"/>
            </w:tcBorders>
            <w:tcMar>
              <w:top w:w="100" w:type="dxa"/>
              <w:start w:w="120" w:type="dxa"/>
              <w:bottom w:w="100" w:type="dxa"/>
              <w:end w:w="120" w:type="dxa"/>
            </w:tcMar>
            <w:vAlign w:val="center"/>
          </w:tcPr>
          <w:p>
            <w:pPr>
              <w:spacing w:after="0" w:line="276" w:lineRule="auto"/>
              <w:jc w:val="left"/>
            </w:pPr>
            <w:hyperlink r:id="rId10">
              <w:r>
                <w:rPr>
                  <w:rFonts w:ascii="Calibri" w:hAnsi="Calibri"/>
                  <w:color w:val="0563C1"/>
                  <w:u w:val="single"/>
                  <w:sz w:val="22"/>
                </w:rPr>
                <w:t>S2</w:t>
              </w:r>
            </w:hyperlink>
          </w:p>
        </w:tc>
      </w:tr>
      <w:tr>
        <w:tc>
          <w:tcPr>
            <w:tcW w:type="dxa" w:w="1944"/>
            <w:tcBorders>
              <w:top w:val="single" w:sz="6" w:space="0" w:color="CBD5E1"/>
              <w:left w:val="single" w:sz="6" w:space="0" w:color="CBD5E1"/>
              <w:bottom w:val="single" w:sz="6" w:space="0" w:color="CBD5E1"/>
              <w:right w:val="single" w:sz="6" w:space="0" w:color="CBD5E1"/>
            </w:tcBorders>
            <w:tcMar>
              <w:top w:w="100" w:type="dxa"/>
              <w:start w:w="120" w:type="dxa"/>
              <w:bottom w:w="100" w:type="dxa"/>
              <w:end w:w="120" w:type="dxa"/>
            </w:tcMar>
            <w:vAlign w:val="center"/>
          </w:tcPr>
          <w:p>
            <w:pPr>
              <w:spacing w:after="0" w:line="276" w:lineRule="auto"/>
            </w:pPr>
            <w:r>
              <w:rPr>
                <w:rFonts w:ascii="Calibri" w:hAnsi="Calibri"/>
                <w:b/>
                <w:color w:val="222222"/>
                <w:sz w:val="20"/>
              </w:rPr>
              <w:t>2011</w:t>
            </w:r>
          </w:p>
        </w:tc>
        <w:tc>
          <w:tcPr>
            <w:tcW w:type="dxa" w:w="6120"/>
            <w:tcBorders>
              <w:top w:val="single" w:sz="6" w:space="0" w:color="CBD5E1"/>
              <w:left w:val="single" w:sz="6" w:space="0" w:color="CBD5E1"/>
              <w:bottom w:val="single" w:sz="6" w:space="0" w:color="CBD5E1"/>
              <w:right w:val="single" w:sz="6" w:space="0" w:color="CBD5E1"/>
            </w:tcBorders>
            <w:tcMar>
              <w:top w:w="100" w:type="dxa"/>
              <w:start w:w="120" w:type="dxa"/>
              <w:bottom w:w="100" w:type="dxa"/>
              <w:end w:w="120" w:type="dxa"/>
            </w:tcMar>
            <w:vAlign w:val="center"/>
          </w:tcPr>
          <w:p>
            <w:pPr>
              <w:spacing w:after="0" w:line="283" w:lineRule="auto"/>
            </w:pPr>
            <w:r>
              <w:rPr>
                <w:rFonts w:ascii="Calibri" w:hAnsi="Calibri"/>
                <w:color w:val="222222"/>
                <w:sz w:val="20"/>
              </w:rPr>
              <w:t>look art is commissioned by New Radio and Performing Arts for Turbulence, with NEA support and CADRE support.</w:t>
            </w:r>
          </w:p>
        </w:tc>
        <w:tc>
          <w:tcPr>
            <w:tcW w:type="dxa" w:w="1296"/>
            <w:tcBorders>
              <w:top w:val="single" w:sz="6" w:space="0" w:color="CBD5E1"/>
              <w:left w:val="single" w:sz="6" w:space="0" w:color="CBD5E1"/>
              <w:bottom w:val="single" w:sz="6" w:space="0" w:color="CBD5E1"/>
              <w:right w:val="single" w:sz="6" w:space="0" w:color="CBD5E1"/>
            </w:tcBorders>
            <w:tcMar>
              <w:top w:w="100" w:type="dxa"/>
              <w:start w:w="120" w:type="dxa"/>
              <w:bottom w:w="100" w:type="dxa"/>
              <w:end w:w="120" w:type="dxa"/>
            </w:tcMar>
            <w:vAlign w:val="center"/>
          </w:tcPr>
          <w:p>
            <w:pPr>
              <w:spacing w:after="0" w:line="276" w:lineRule="auto"/>
              <w:jc w:val="left"/>
            </w:pPr>
            <w:hyperlink r:id="rId19">
              <w:r>
                <w:rPr>
                  <w:rFonts w:ascii="Calibri" w:hAnsi="Calibri"/>
                  <w:color w:val="0563C1"/>
                  <w:u w:val="single"/>
                  <w:sz w:val="22"/>
                </w:rPr>
                <w:t>S9</w:t>
              </w:r>
            </w:hyperlink>
          </w:p>
        </w:tc>
      </w:tr>
      <w:tr>
        <w:tc>
          <w:tcPr>
            <w:tcW w:type="dxa" w:w="1944"/>
            <w:tcBorders>
              <w:top w:val="single" w:sz="6" w:space="0" w:color="CBD5E1"/>
              <w:left w:val="single" w:sz="6" w:space="0" w:color="CBD5E1"/>
              <w:bottom w:val="single" w:sz="6" w:space="0" w:color="CBD5E1"/>
              <w:right w:val="single" w:sz="6" w:space="0" w:color="CBD5E1"/>
            </w:tcBorders>
            <w:tcMar>
              <w:top w:w="100" w:type="dxa"/>
              <w:start w:w="120" w:type="dxa"/>
              <w:bottom w:w="100" w:type="dxa"/>
              <w:end w:w="120" w:type="dxa"/>
            </w:tcMar>
            <w:vAlign w:val="center"/>
          </w:tcPr>
          <w:p>
            <w:pPr>
              <w:spacing w:after="0" w:line="276" w:lineRule="auto"/>
            </w:pPr>
            <w:r>
              <w:rPr>
                <w:rFonts w:ascii="Calibri" w:hAnsi="Calibri"/>
                <w:b/>
                <w:color w:val="222222"/>
                <w:sz w:val="20"/>
              </w:rPr>
              <w:t>2012</w:t>
            </w:r>
          </w:p>
        </w:tc>
        <w:tc>
          <w:tcPr>
            <w:tcW w:type="dxa" w:w="6120"/>
            <w:tcBorders>
              <w:top w:val="single" w:sz="6" w:space="0" w:color="CBD5E1"/>
              <w:left w:val="single" w:sz="6" w:space="0" w:color="CBD5E1"/>
              <w:bottom w:val="single" w:sz="6" w:space="0" w:color="CBD5E1"/>
              <w:right w:val="single" w:sz="6" w:space="0" w:color="CBD5E1"/>
            </w:tcBorders>
            <w:tcMar>
              <w:top w:w="100" w:type="dxa"/>
              <w:start w:w="120" w:type="dxa"/>
              <w:bottom w:w="100" w:type="dxa"/>
              <w:end w:w="120" w:type="dxa"/>
            </w:tcMar>
            <w:vAlign w:val="center"/>
          </w:tcPr>
          <w:p>
            <w:pPr>
              <w:spacing w:after="0" w:line="283" w:lineRule="auto"/>
            </w:pPr>
            <w:r>
              <w:rPr>
                <w:rFonts w:ascii="Calibri" w:hAnsi="Calibri"/>
                <w:color w:val="222222"/>
                <w:sz w:val="20"/>
              </w:rPr>
              <w:t>V2V: Valley to Valley is shown at Innoprom 2012 and connected to ZERO1 / Ural Industrial Biennial contexts.</w:t>
            </w:r>
          </w:p>
        </w:tc>
        <w:tc>
          <w:tcPr>
            <w:tcW w:type="dxa" w:w="1296"/>
            <w:tcBorders>
              <w:top w:val="single" w:sz="6" w:space="0" w:color="CBD5E1"/>
              <w:left w:val="single" w:sz="6" w:space="0" w:color="CBD5E1"/>
              <w:bottom w:val="single" w:sz="6" w:space="0" w:color="CBD5E1"/>
              <w:right w:val="single" w:sz="6" w:space="0" w:color="CBD5E1"/>
            </w:tcBorders>
            <w:tcMar>
              <w:top w:w="100" w:type="dxa"/>
              <w:start w:w="120" w:type="dxa"/>
              <w:bottom w:w="100" w:type="dxa"/>
              <w:end w:w="120" w:type="dxa"/>
            </w:tcMar>
            <w:vAlign w:val="center"/>
          </w:tcPr>
          <w:p>
            <w:pPr>
              <w:spacing w:after="0" w:line="276" w:lineRule="auto"/>
              <w:jc w:val="left"/>
            </w:pPr>
            <w:hyperlink r:id="rId20">
              <w:r>
                <w:rPr>
                  <w:rFonts w:ascii="Calibri" w:hAnsi="Calibri"/>
                  <w:color w:val="0563C1"/>
                  <w:u w:val="single"/>
                  <w:sz w:val="22"/>
                </w:rPr>
                <w:t>S10</w:t>
              </w:r>
            </w:hyperlink>
          </w:p>
        </w:tc>
      </w:tr>
      <w:tr>
        <w:tc>
          <w:tcPr>
            <w:tcW w:type="dxa" w:w="1944"/>
            <w:tcBorders>
              <w:top w:val="single" w:sz="6" w:space="0" w:color="CBD5E1"/>
              <w:left w:val="single" w:sz="6" w:space="0" w:color="CBD5E1"/>
              <w:bottom w:val="single" w:sz="6" w:space="0" w:color="CBD5E1"/>
              <w:right w:val="single" w:sz="6" w:space="0" w:color="CBD5E1"/>
            </w:tcBorders>
            <w:tcMar>
              <w:top w:w="100" w:type="dxa"/>
              <w:start w:w="120" w:type="dxa"/>
              <w:bottom w:w="100" w:type="dxa"/>
              <w:end w:w="120" w:type="dxa"/>
            </w:tcMar>
            <w:vAlign w:val="center"/>
          </w:tcPr>
          <w:p>
            <w:pPr>
              <w:spacing w:after="0" w:line="276" w:lineRule="auto"/>
            </w:pPr>
            <w:r>
              <w:rPr>
                <w:rFonts w:ascii="Calibri" w:hAnsi="Calibri"/>
                <w:b/>
                <w:color w:val="222222"/>
                <w:sz w:val="20"/>
              </w:rPr>
              <w:t>April 28, 2014</w:t>
            </w:r>
          </w:p>
        </w:tc>
        <w:tc>
          <w:tcPr>
            <w:tcW w:type="dxa" w:w="6120"/>
            <w:tcBorders>
              <w:top w:val="single" w:sz="6" w:space="0" w:color="CBD5E1"/>
              <w:left w:val="single" w:sz="6" w:space="0" w:color="CBD5E1"/>
              <w:bottom w:val="single" w:sz="6" w:space="0" w:color="CBD5E1"/>
              <w:right w:val="single" w:sz="6" w:space="0" w:color="CBD5E1"/>
            </w:tcBorders>
            <w:tcMar>
              <w:top w:w="100" w:type="dxa"/>
              <w:start w:w="120" w:type="dxa"/>
              <w:bottom w:w="100" w:type="dxa"/>
              <w:end w:w="120" w:type="dxa"/>
            </w:tcMar>
            <w:vAlign w:val="center"/>
          </w:tcPr>
          <w:p>
            <w:pPr>
              <w:spacing w:after="0" w:line="283" w:lineRule="auto"/>
            </w:pPr>
            <w:r>
              <w:rPr>
                <w:rFonts w:ascii="Calibri" w:hAnsi="Calibri"/>
                <w:color w:val="222222"/>
                <w:sz w:val="20"/>
              </w:rPr>
              <w:t>Ars Virtua issues a call for the AVAIR Orwell Residence in Minecraft, with a six-week residency and stipend.</w:t>
            </w:r>
          </w:p>
        </w:tc>
        <w:tc>
          <w:tcPr>
            <w:tcW w:type="dxa" w:w="1296"/>
            <w:tcBorders>
              <w:top w:val="single" w:sz="6" w:space="0" w:color="CBD5E1"/>
              <w:left w:val="single" w:sz="6" w:space="0" w:color="CBD5E1"/>
              <w:bottom w:val="single" w:sz="6" w:space="0" w:color="CBD5E1"/>
              <w:right w:val="single" w:sz="6" w:space="0" w:color="CBD5E1"/>
            </w:tcBorders>
            <w:tcMar>
              <w:top w:w="100" w:type="dxa"/>
              <w:start w:w="120" w:type="dxa"/>
              <w:bottom w:w="100" w:type="dxa"/>
              <w:end w:w="120" w:type="dxa"/>
            </w:tcMar>
            <w:vAlign w:val="center"/>
          </w:tcPr>
          <w:p>
            <w:pPr>
              <w:spacing w:after="0" w:line="276" w:lineRule="auto"/>
              <w:jc w:val="left"/>
            </w:pPr>
            <w:hyperlink r:id="rId21">
              <w:r>
                <w:rPr>
                  <w:rFonts w:ascii="Calibri" w:hAnsi="Calibri"/>
                  <w:color w:val="0563C1"/>
                  <w:u w:val="single"/>
                  <w:sz w:val="22"/>
                </w:rPr>
                <w:t>S11</w:t>
              </w:r>
            </w:hyperlink>
          </w:p>
        </w:tc>
      </w:tr>
      <w:tr>
        <w:tc>
          <w:tcPr>
            <w:tcW w:type="dxa" w:w="1944"/>
            <w:tcBorders>
              <w:top w:val="single" w:sz="6" w:space="0" w:color="CBD5E1"/>
              <w:left w:val="single" w:sz="6" w:space="0" w:color="CBD5E1"/>
              <w:bottom w:val="single" w:sz="6" w:space="0" w:color="CBD5E1"/>
              <w:right w:val="single" w:sz="6" w:space="0" w:color="CBD5E1"/>
            </w:tcBorders>
            <w:tcMar>
              <w:top w:w="100" w:type="dxa"/>
              <w:start w:w="120" w:type="dxa"/>
              <w:bottom w:w="100" w:type="dxa"/>
              <w:end w:w="120" w:type="dxa"/>
            </w:tcMar>
            <w:vAlign w:val="center"/>
          </w:tcPr>
          <w:p>
            <w:pPr>
              <w:spacing w:after="0" w:line="276" w:lineRule="auto"/>
            </w:pPr>
            <w:r>
              <w:rPr>
                <w:rFonts w:ascii="Calibri" w:hAnsi="Calibri"/>
                <w:b/>
                <w:color w:val="222222"/>
                <w:sz w:val="20"/>
              </w:rPr>
              <w:t>June-September 2014</w:t>
            </w:r>
          </w:p>
        </w:tc>
        <w:tc>
          <w:tcPr>
            <w:tcW w:type="dxa" w:w="6120"/>
            <w:tcBorders>
              <w:top w:val="single" w:sz="6" w:space="0" w:color="CBD5E1"/>
              <w:left w:val="single" w:sz="6" w:space="0" w:color="CBD5E1"/>
              <w:bottom w:val="single" w:sz="6" w:space="0" w:color="CBD5E1"/>
              <w:right w:val="single" w:sz="6" w:space="0" w:color="CBD5E1"/>
            </w:tcBorders>
            <w:tcMar>
              <w:top w:w="100" w:type="dxa"/>
              <w:start w:w="120" w:type="dxa"/>
              <w:bottom w:w="100" w:type="dxa"/>
              <w:end w:w="120" w:type="dxa"/>
            </w:tcMar>
            <w:vAlign w:val="center"/>
          </w:tcPr>
          <w:p>
            <w:pPr>
              <w:spacing w:after="0" w:line="283" w:lineRule="auto"/>
            </w:pPr>
            <w:r>
              <w:rPr>
                <w:rFonts w:ascii="Calibri" w:hAnsi="Calibri"/>
                <w:color w:val="222222"/>
                <w:sz w:val="20"/>
              </w:rPr>
              <w:t>The 2014 AVAIR residency is awarded to an Ekaterinburg team working with mixed-reality constructions in Minecraft and the 2nd Ural Industrial Biennial context.</w:t>
            </w:r>
          </w:p>
        </w:tc>
        <w:tc>
          <w:tcPr>
            <w:tcW w:type="dxa" w:w="1296"/>
            <w:tcBorders>
              <w:top w:val="single" w:sz="6" w:space="0" w:color="CBD5E1"/>
              <w:left w:val="single" w:sz="6" w:space="0" w:color="CBD5E1"/>
              <w:bottom w:val="single" w:sz="6" w:space="0" w:color="CBD5E1"/>
              <w:right w:val="single" w:sz="6" w:space="0" w:color="CBD5E1"/>
            </w:tcBorders>
            <w:tcMar>
              <w:top w:w="100" w:type="dxa"/>
              <w:start w:w="120" w:type="dxa"/>
              <w:bottom w:w="100" w:type="dxa"/>
              <w:end w:w="120" w:type="dxa"/>
            </w:tcMar>
            <w:vAlign w:val="center"/>
          </w:tcPr>
          <w:p>
            <w:pPr>
              <w:spacing w:after="0" w:line="276" w:lineRule="auto"/>
              <w:jc w:val="left"/>
            </w:pPr>
            <w:hyperlink r:id="rId22">
              <w:r>
                <w:rPr>
                  <w:rFonts w:ascii="Calibri" w:hAnsi="Calibri"/>
                  <w:color w:val="0563C1"/>
                  <w:u w:val="single"/>
                  <w:sz w:val="22"/>
                </w:rPr>
                <w:t>S12</w:t>
              </w:r>
            </w:hyperlink>
          </w:p>
        </w:tc>
      </w:tr>
      <w:tr>
        <w:tc>
          <w:tcPr>
            <w:tcW w:type="dxa" w:w="1944"/>
            <w:tcBorders>
              <w:top w:val="single" w:sz="6" w:space="0" w:color="CBD5E1"/>
              <w:left w:val="single" w:sz="6" w:space="0" w:color="CBD5E1"/>
              <w:bottom w:val="single" w:sz="6" w:space="0" w:color="CBD5E1"/>
              <w:right w:val="single" w:sz="6" w:space="0" w:color="CBD5E1"/>
            </w:tcBorders>
            <w:tcMar>
              <w:top w:w="100" w:type="dxa"/>
              <w:start w:w="120" w:type="dxa"/>
              <w:bottom w:w="100" w:type="dxa"/>
              <w:end w:w="120" w:type="dxa"/>
            </w:tcMar>
            <w:vAlign w:val="center"/>
          </w:tcPr>
          <w:p>
            <w:pPr>
              <w:spacing w:after="0" w:line="276" w:lineRule="auto"/>
            </w:pPr>
            <w:r>
              <w:rPr>
                <w:rFonts w:ascii="Calibri" w:hAnsi="Calibri"/>
                <w:b/>
                <w:color w:val="222222"/>
                <w:sz w:val="20"/>
              </w:rPr>
              <w:t>Later/current archive state</w:t>
            </w:r>
          </w:p>
        </w:tc>
        <w:tc>
          <w:tcPr>
            <w:tcW w:type="dxa" w:w="6120"/>
            <w:tcBorders>
              <w:top w:val="single" w:sz="6" w:space="0" w:color="CBD5E1"/>
              <w:left w:val="single" w:sz="6" w:space="0" w:color="CBD5E1"/>
              <w:bottom w:val="single" w:sz="6" w:space="0" w:color="CBD5E1"/>
              <w:right w:val="single" w:sz="6" w:space="0" w:color="CBD5E1"/>
            </w:tcBorders>
            <w:tcMar>
              <w:top w:w="100" w:type="dxa"/>
              <w:start w:w="120" w:type="dxa"/>
              <w:bottom w:w="100" w:type="dxa"/>
              <w:end w:w="120" w:type="dxa"/>
            </w:tcMar>
            <w:vAlign w:val="center"/>
          </w:tcPr>
          <w:p>
            <w:pPr>
              <w:spacing w:after="0" w:line="283" w:lineRule="auto"/>
            </w:pPr>
            <w:r>
              <w:rPr>
                <w:rFonts w:ascii="Calibri" w:hAnsi="Calibri"/>
                <w:color w:val="222222"/>
                <w:sz w:val="20"/>
              </w:rPr>
              <w:t>The site now functions largely as an archive/project index, with the gallery described as having moved to a semi-private Minecraft server.</w:t>
            </w:r>
          </w:p>
        </w:tc>
        <w:tc>
          <w:tcPr>
            <w:tcW w:type="dxa" w:w="1296"/>
            <w:tcBorders>
              <w:top w:val="single" w:sz="6" w:space="0" w:color="CBD5E1"/>
              <w:left w:val="single" w:sz="6" w:space="0" w:color="CBD5E1"/>
              <w:bottom w:val="single" w:sz="6" w:space="0" w:color="CBD5E1"/>
              <w:right w:val="single" w:sz="6" w:space="0" w:color="CBD5E1"/>
            </w:tcBorders>
            <w:tcMar>
              <w:top w:w="100" w:type="dxa"/>
              <w:start w:w="120" w:type="dxa"/>
              <w:bottom w:w="100" w:type="dxa"/>
              <w:end w:w="120" w:type="dxa"/>
            </w:tcMar>
            <w:vAlign w:val="center"/>
          </w:tcPr>
          <w:p>
            <w:pPr>
              <w:spacing w:after="0" w:line="276" w:lineRule="auto"/>
              <w:jc w:val="left"/>
            </w:pPr>
            <w:hyperlink r:id="rId23">
              <w:r>
                <w:rPr>
                  <w:rFonts w:ascii="Calibri" w:hAnsi="Calibri"/>
                  <w:color w:val="0563C1"/>
                  <w:u w:val="single"/>
                  <w:sz w:val="22"/>
                </w:rPr>
                <w:t>S1</w:t>
              </w:r>
            </w:hyperlink>
            <w:r>
              <w:rPr>
                <w:rFonts w:ascii="Calibri" w:hAnsi="Calibri"/>
                <w:color w:val="222222"/>
                <w:sz w:val="20"/>
              </w:rPr>
              <w:t xml:space="preserve">, </w:t>
            </w:r>
            <w:hyperlink r:id="rId11">
              <w:r>
                <w:rPr>
                  <w:rFonts w:ascii="Calibri" w:hAnsi="Calibri"/>
                  <w:color w:val="0563C1"/>
                  <w:u w:val="single"/>
                  <w:sz w:val="22"/>
                </w:rPr>
                <w:t>S3</w:t>
              </w:r>
            </w:hyperlink>
          </w:p>
        </w:tc>
      </w:tr>
    </w:tbl>
    <w:p>
      <w:pPr>
        <w:pStyle w:val="Heading1"/>
      </w:pPr>
      <w:r>
        <w:t>Sources</w:t>
      </w:r>
    </w:p>
    <w:p>
      <w:pPr>
        <w:spacing w:before="0" w:after="160" w:line="300" w:lineRule="auto"/>
      </w:pPr>
      <w:r>
        <w:rPr>
          <w:rFonts w:ascii="Calibri" w:hAnsi="Calibri"/>
          <w:b w:val="0"/>
          <w:i w:val="0"/>
          <w:color w:val="595959"/>
          <w:sz w:val="21"/>
        </w:rPr>
        <w:t>Source labels in the timeline table link directly to the corresponding repository file, GitHub page, or Internet Archive CDX record.</w:t>
      </w:r>
    </w:p>
    <w:p>
      <w:pPr>
        <w:spacing w:after="80" w:line="276" w:lineRule="auto"/>
        <w:ind w:left="259" w:hanging="259"/>
      </w:pPr>
      <w:r>
        <w:rPr>
          <w:rFonts w:ascii="Calibri" w:hAnsi="Calibri"/>
          <w:b/>
          <w:color w:val="222222"/>
          <w:sz w:val="21"/>
        </w:rPr>
        <w:t xml:space="preserve">S1. </w:t>
      </w:r>
      <w:hyperlink r:id="rId23">
        <w:r>
          <w:rPr>
            <w:rFonts w:ascii="Calibri" w:hAnsi="Calibri"/>
            <w:color w:val="0563C1"/>
            <w:u w:val="single"/>
            <w:sz w:val="22"/>
          </w:rPr>
          <w:t>GitHub repository: ruby-yacht/arsvirtua.com</w:t>
        </w:r>
      </w:hyperlink>
    </w:p>
    <w:p>
      <w:pPr>
        <w:spacing w:after="80" w:line="276" w:lineRule="auto"/>
        <w:ind w:left="259" w:hanging="259"/>
      </w:pPr>
      <w:r>
        <w:rPr>
          <w:rFonts w:ascii="Calibri" w:hAnsi="Calibri"/>
          <w:b/>
          <w:color w:val="222222"/>
          <w:sz w:val="21"/>
        </w:rPr>
        <w:t xml:space="preserve">S2. </w:t>
      </w:r>
      <w:hyperlink r:id="rId10">
        <w:r>
          <w:rPr>
            <w:rFonts w:ascii="Calibri" w:hAnsi="Calibri"/>
            <w:color w:val="0563C1"/>
            <w:u w:val="single"/>
            <w:sz w:val="22"/>
          </w:rPr>
          <w:t>GitHub archive page: ars-virtua-archive.html</w:t>
        </w:r>
      </w:hyperlink>
    </w:p>
    <w:p>
      <w:pPr>
        <w:spacing w:after="80" w:line="276" w:lineRule="auto"/>
        <w:ind w:left="259" w:hanging="259"/>
      </w:pPr>
      <w:r>
        <w:rPr>
          <w:rFonts w:ascii="Calibri" w:hAnsi="Calibri"/>
          <w:b/>
          <w:color w:val="222222"/>
          <w:sz w:val="21"/>
        </w:rPr>
        <w:t xml:space="preserve">S3. </w:t>
      </w:r>
      <w:hyperlink r:id="rId11">
        <w:r>
          <w:rPr>
            <w:rFonts w:ascii="Calibri" w:hAnsi="Calibri"/>
            <w:color w:val="0563C1"/>
            <w:u w:val="single"/>
            <w:sz w:val="22"/>
          </w:rPr>
          <w:t>GitHub about page: about.html</w:t>
        </w:r>
      </w:hyperlink>
    </w:p>
    <w:p>
      <w:pPr>
        <w:spacing w:after="80" w:line="276" w:lineRule="auto"/>
        <w:ind w:left="259" w:hanging="259"/>
      </w:pPr>
      <w:r>
        <w:rPr>
          <w:rFonts w:ascii="Calibri" w:hAnsi="Calibri"/>
          <w:b/>
          <w:color w:val="222222"/>
          <w:sz w:val="21"/>
        </w:rPr>
        <w:t xml:space="preserve">S4. </w:t>
      </w:r>
      <w:hyperlink r:id="rId17">
        <w:r>
          <w:rPr>
            <w:rFonts w:ascii="Calibri" w:hAnsi="Calibri"/>
            <w:color w:val="0563C1"/>
            <w:u w:val="single"/>
            <w:sz w:val="22"/>
          </w:rPr>
          <w:t>GitHub Borders program: borders/program.html</w:t>
        </w:r>
      </w:hyperlink>
    </w:p>
    <w:p>
      <w:pPr>
        <w:spacing w:after="80" w:line="276" w:lineRule="auto"/>
        <w:ind w:left="259" w:hanging="259"/>
      </w:pPr>
      <w:r>
        <w:rPr>
          <w:rFonts w:ascii="Calibri" w:hAnsi="Calibri"/>
          <w:b/>
          <w:color w:val="222222"/>
          <w:sz w:val="21"/>
        </w:rPr>
        <w:t xml:space="preserve">S5. </w:t>
      </w:r>
      <w:hyperlink r:id="rId18">
        <w:r>
          <w:rPr>
            <w:rFonts w:ascii="Calibri" w:hAnsi="Calibri"/>
            <w:color w:val="0563C1"/>
            <w:u w:val="single"/>
            <w:sz w:val="22"/>
          </w:rPr>
          <w:t>GitHub Borders announcement: borders/announcement.html</w:t>
        </w:r>
      </w:hyperlink>
    </w:p>
    <w:p>
      <w:pPr>
        <w:spacing w:after="80" w:line="276" w:lineRule="auto"/>
        <w:ind w:left="259" w:hanging="259"/>
      </w:pPr>
      <w:r>
        <w:rPr>
          <w:rFonts w:ascii="Calibri" w:hAnsi="Calibri"/>
          <w:b/>
          <w:color w:val="222222"/>
          <w:sz w:val="21"/>
        </w:rPr>
        <w:t xml:space="preserve">S6. </w:t>
      </w:r>
      <w:hyperlink r:id="rId13">
        <w:r>
          <w:rPr>
            <w:rFonts w:ascii="Calibri" w:hAnsi="Calibri"/>
            <w:color w:val="0563C1"/>
            <w:u w:val="single"/>
            <w:sz w:val="22"/>
          </w:rPr>
          <w:t>GitHub Upgrade page: upgrade/index.html</w:t>
        </w:r>
      </w:hyperlink>
    </w:p>
    <w:p>
      <w:pPr>
        <w:spacing w:after="80" w:line="276" w:lineRule="auto"/>
        <w:ind w:left="259" w:hanging="259"/>
      </w:pPr>
      <w:r>
        <w:rPr>
          <w:rFonts w:ascii="Calibri" w:hAnsi="Calibri"/>
          <w:b/>
          <w:color w:val="222222"/>
          <w:sz w:val="21"/>
        </w:rPr>
        <w:t xml:space="preserve">S7. </w:t>
      </w:r>
      <w:hyperlink r:id="rId15">
        <w:r>
          <w:rPr>
            <w:rFonts w:ascii="Calibri" w:hAnsi="Calibri"/>
            <w:color w:val="0563C1"/>
            <w:u w:val="single"/>
            <w:sz w:val="22"/>
          </w:rPr>
          <w:t>GitHub Upgrade archive: upgrade/archive2.html</w:t>
        </w:r>
      </w:hyperlink>
    </w:p>
    <w:p>
      <w:pPr>
        <w:spacing w:after="80" w:line="276" w:lineRule="auto"/>
        <w:ind w:left="259" w:hanging="259"/>
      </w:pPr>
      <w:r>
        <w:rPr>
          <w:rFonts w:ascii="Calibri" w:hAnsi="Calibri"/>
          <w:b/>
          <w:color w:val="222222"/>
          <w:sz w:val="21"/>
        </w:rPr>
        <w:t xml:space="preserve">S8. </w:t>
      </w:r>
      <w:hyperlink r:id="rId16">
        <w:r>
          <w:rPr>
            <w:rFonts w:ascii="Calibri" w:hAnsi="Calibri"/>
            <w:color w:val="0563C1"/>
            <w:u w:val="single"/>
            <w:sz w:val="22"/>
          </w:rPr>
          <w:t>GitHub Tribute project page</w:t>
        </w:r>
      </w:hyperlink>
    </w:p>
    <w:p>
      <w:pPr>
        <w:spacing w:after="80" w:line="276" w:lineRule="auto"/>
        <w:ind w:left="259" w:hanging="259"/>
      </w:pPr>
      <w:r>
        <w:rPr>
          <w:rFonts w:ascii="Calibri" w:hAnsi="Calibri"/>
          <w:b/>
          <w:color w:val="222222"/>
          <w:sz w:val="21"/>
        </w:rPr>
        <w:t xml:space="preserve">S9. </w:t>
      </w:r>
      <w:hyperlink r:id="rId19">
        <w:r>
          <w:rPr>
            <w:rFonts w:ascii="Calibri" w:hAnsi="Calibri"/>
            <w:color w:val="0563C1"/>
            <w:u w:val="single"/>
            <w:sz w:val="22"/>
          </w:rPr>
          <w:t>GitHub look art page: lookart/index.html</w:t>
        </w:r>
      </w:hyperlink>
    </w:p>
    <w:p>
      <w:pPr>
        <w:spacing w:after="80" w:line="276" w:lineRule="auto"/>
        <w:ind w:left="259" w:hanging="259"/>
      </w:pPr>
      <w:r>
        <w:rPr>
          <w:rFonts w:ascii="Calibri" w:hAnsi="Calibri"/>
          <w:b/>
          <w:color w:val="222222"/>
          <w:sz w:val="21"/>
        </w:rPr>
        <w:t xml:space="preserve">S10. </w:t>
      </w:r>
      <w:hyperlink r:id="rId20">
        <w:r>
          <w:rPr>
            <w:rFonts w:ascii="Calibri" w:hAnsi="Calibri"/>
            <w:color w:val="0563C1"/>
            <w:u w:val="single"/>
            <w:sz w:val="22"/>
          </w:rPr>
          <w:t>GitHub V2V page: v2v/index.html</w:t>
        </w:r>
      </w:hyperlink>
    </w:p>
    <w:p>
      <w:pPr>
        <w:spacing w:after="80" w:line="276" w:lineRule="auto"/>
        <w:ind w:left="259" w:hanging="259"/>
      </w:pPr>
      <w:r>
        <w:rPr>
          <w:rFonts w:ascii="Calibri" w:hAnsi="Calibri"/>
          <w:b/>
          <w:color w:val="222222"/>
          <w:sz w:val="21"/>
        </w:rPr>
        <w:t xml:space="preserve">S11. </w:t>
      </w:r>
      <w:hyperlink r:id="rId21">
        <w:r>
          <w:rPr>
            <w:rFonts w:ascii="Calibri" w:hAnsi="Calibri"/>
            <w:color w:val="0563C1"/>
            <w:u w:val="single"/>
            <w:sz w:val="22"/>
          </w:rPr>
          <w:t>GitHub AVAIR residence call: residence-call.html</w:t>
        </w:r>
      </w:hyperlink>
    </w:p>
    <w:p>
      <w:pPr>
        <w:spacing w:after="80" w:line="276" w:lineRule="auto"/>
        <w:ind w:left="259" w:hanging="259"/>
      </w:pPr>
      <w:r>
        <w:rPr>
          <w:rFonts w:ascii="Calibri" w:hAnsi="Calibri"/>
          <w:b/>
          <w:color w:val="222222"/>
          <w:sz w:val="21"/>
        </w:rPr>
        <w:t xml:space="preserve">S12. </w:t>
      </w:r>
      <w:hyperlink r:id="rId22">
        <w:r>
          <w:rPr>
            <w:rFonts w:ascii="Calibri" w:hAnsi="Calibri"/>
            <w:color w:val="0563C1"/>
            <w:u w:val="single"/>
            <w:sz w:val="22"/>
          </w:rPr>
          <w:t>GitHub AVAIR residence award page: residence.html</w:t>
        </w:r>
      </w:hyperlink>
    </w:p>
    <w:p>
      <w:pPr>
        <w:spacing w:after="80" w:line="276" w:lineRule="auto"/>
        <w:ind w:left="259" w:hanging="259"/>
      </w:pPr>
      <w:r>
        <w:rPr>
          <w:rFonts w:ascii="Calibri" w:hAnsi="Calibri"/>
          <w:b/>
          <w:color w:val="222222"/>
          <w:sz w:val="21"/>
        </w:rPr>
        <w:t xml:space="preserve">S13. </w:t>
      </w:r>
      <w:hyperlink r:id="rId12">
        <w:r>
          <w:rPr>
            <w:rFonts w:ascii="Calibri" w:hAnsi="Calibri"/>
            <w:color w:val="0563C1"/>
            <w:u w:val="single"/>
            <w:sz w:val="22"/>
          </w:rPr>
          <w:t>Internet Archive CDX snapshots for arsvirtua.com, 2005-2015</w:t>
        </w:r>
      </w:hyperlink>
    </w:p>
    <w:p>
      <w:pPr>
        <w:spacing w:after="80" w:line="276" w:lineRule="auto"/>
        <w:ind w:left="259" w:hanging="259"/>
      </w:pPr>
      <w:r>
        <w:rPr>
          <w:rFonts w:ascii="Calibri" w:hAnsi="Calibri"/>
          <w:b/>
          <w:color w:val="222222"/>
          <w:sz w:val="21"/>
        </w:rPr>
        <w:t xml:space="preserve">S14. </w:t>
      </w:r>
      <w:hyperlink r:id="rId14">
        <w:r>
          <w:rPr>
            <w:rFonts w:ascii="Calibri" w:hAnsi="Calibri"/>
            <w:color w:val="0563C1"/>
            <w:u w:val="single"/>
            <w:sz w:val="22"/>
          </w:rPr>
          <w:t>Internet Archive CDX snapshots for turbulence.org/AVAIR, 2006-2012</w:t>
        </w:r>
      </w:hyperlink>
    </w:p>
    <w:sectPr w:rsidR="00FC693F" w:rsidRPr="0006063C" w:rsidSect="00034616">
      <w:footerReference w:type="default" r:id="rId9"/>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595959"/>
        <w:sz w:val="18"/>
      </w:rPr>
      <w:t>Ars Virtua Timeline</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00" w:lineRule="auto"/>
    </w:pPr>
    <w:rPr>
      <w:rFonts w:ascii="Calibri" w:hAnsi="Calibri"/>
      <w:color w:val="222222"/>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line="300" w:lineRule="auto"/>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80" w:after="140" w:line="300" w:lineRule="auto"/>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100" w:line="300" w:lineRule="auto"/>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yperlink" Target="https://github.com/ruby-yacht/arsvirtua.com/blob/main/ars-virtua-archive.html" TargetMode="External"/><Relationship Id="rId11" Type="http://schemas.openxmlformats.org/officeDocument/2006/relationships/hyperlink" Target="https://github.com/ruby-yacht/arsvirtua.com/blob/main/about.html" TargetMode="External"/><Relationship Id="rId12" Type="http://schemas.openxmlformats.org/officeDocument/2006/relationships/hyperlink" Target="https://web.archive.org/cdx?url=arsvirtua.com&amp;from=2005&amp;to=2015&amp;output=json&amp;fl=timestamp,original,statuscode,mimetype&amp;filter=statuscode:200&amp;collapse=digest&amp;limit=8" TargetMode="External"/><Relationship Id="rId13" Type="http://schemas.openxmlformats.org/officeDocument/2006/relationships/hyperlink" Target="https://github.com/ruby-yacht/arsvirtua.com/blob/main/upgrade/index.html" TargetMode="External"/><Relationship Id="rId14" Type="http://schemas.openxmlformats.org/officeDocument/2006/relationships/hyperlink" Target="https://web.archive.org/cdx?url=turbulence.org/AVAIR/&amp;from=2006&amp;to=2012&amp;output=json&amp;fl=timestamp,original,statuscode,mimetype&amp;filter=statuscode:200&amp;collapse=digest&amp;limit=5" TargetMode="External"/><Relationship Id="rId15" Type="http://schemas.openxmlformats.org/officeDocument/2006/relationships/hyperlink" Target="https://github.com/ruby-yacht/arsvirtua.com/blob/main/upgrade/archive2.html" TargetMode="External"/><Relationship Id="rId16" Type="http://schemas.openxmlformats.org/officeDocument/2006/relationships/hyperlink" Target="https://github.com/ruby-yacht/arsvirtua.com/blob/main/projects/tribute/index.html" TargetMode="External"/><Relationship Id="rId17" Type="http://schemas.openxmlformats.org/officeDocument/2006/relationships/hyperlink" Target="https://github.com/ruby-yacht/arsvirtua.com/blob/main/borders/program.html" TargetMode="External"/><Relationship Id="rId18" Type="http://schemas.openxmlformats.org/officeDocument/2006/relationships/hyperlink" Target="https://github.com/ruby-yacht/arsvirtua.com/blob/main/borders/announcement.html" TargetMode="External"/><Relationship Id="rId19" Type="http://schemas.openxmlformats.org/officeDocument/2006/relationships/hyperlink" Target="https://github.com/ruby-yacht/arsvirtua.com/blob/main/lookart/index.html" TargetMode="External"/><Relationship Id="rId20" Type="http://schemas.openxmlformats.org/officeDocument/2006/relationships/hyperlink" Target="https://github.com/ruby-yacht/arsvirtua.com/blob/main/v2v/index.html" TargetMode="External"/><Relationship Id="rId21" Type="http://schemas.openxmlformats.org/officeDocument/2006/relationships/hyperlink" Target="https://github.com/ruby-yacht/arsvirtua.com/blob/main/residence-call.html" TargetMode="External"/><Relationship Id="rId22" Type="http://schemas.openxmlformats.org/officeDocument/2006/relationships/hyperlink" Target="https://github.com/ruby-yacht/arsvirtua.com/blob/main/residence.html" TargetMode="External"/><Relationship Id="rId23" Type="http://schemas.openxmlformats.org/officeDocument/2006/relationships/hyperlink" Target="https://github.com/ruby-yacht/arsvirtua.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Ars Virtua Timeline</dc:title>
  <dc:subject>Timeline compiled from Ars Virtua repository and web/archive sources</dc:subject>
  <dc:creator>OpenAI Codex</dc:creator>
  <cp:keywords>Ars Virtua, timeline, Second Life, AVAIR, archive</cp:keywords>
  <dc:description>generated by python-docx</dc:description>
  <cp:lastModifiedBy/>
  <cp:revision>1</cp:revision>
  <dcterms:created xsi:type="dcterms:W3CDTF">2013-12-23T23:15:00Z</dcterms:created>
  <dcterms:modified xsi:type="dcterms:W3CDTF">2013-12-23T23:15:00Z</dcterms:modified>
  <cp:category/>
</cp:coreProperties>
</file>