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数字化时代的教育管理研究</w:t>
      </w:r>
    </w:p>
    <w:p>
      <w:pPr>
        <w:pStyle w:val="Heading1"/>
      </w:pPr>
      <w:r>
        <w:t>第一章 绪论</w:t>
      </w:r>
    </w:p>
    <w:p>
      <w:r>
        <w:t>本章介绍研究背景、研究目的和研究意义。</w:t>
      </w:r>
    </w:p>
    <w:p>
      <w:pPr>
        <w:pStyle w:val="Heading1"/>
      </w:pPr>
      <w:r>
        <w:t>第二章 理论基础</w:t>
      </w:r>
    </w:p>
    <w:p>
      <w:r>
        <w:t>本章梳理相关理论，为后续研究奠定基础。</w:t>
      </w:r>
    </w:p>
    <w:p>
      <w:pPr>
        <w:pStyle w:val="Heading1"/>
      </w:pPr>
      <w:r>
        <w:t>参考文献</w:t>
      </w:r>
    </w:p>
    <w:p>
      <w:r>
        <w:t>[1] 王五. 数字化教育管理研究[J]. 教育研究,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