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비례배분 기여도의 영-기여 흡수(zero-credit absorption)와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30"/>
          <w:w w:val="95"/>
          <w:spacing w:val="-15"/>
        </w:rPr>
        <w:t>임계 가상비용에 의한 수동화 해소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— tabular Monte-Carlo 헤즈업 홀덤 학습의 사례연구 —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[저자명]*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[소속기관] [직위]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국문 요약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 기반 Monte-Carlo(MC) 제어에서 각 행동의 보상을 그 행동의 투자액 비율로 배분하는 비례배분(proportional) 기여도 정형화는 분산을 줄이는 합리적 선택이나, 비용 0 행동(예: CHECK)의 credit이 매 에피소드 정확히 0이 되어 그 MC 고정점이 참값과 무관하게 0에 고정되는 구조적 병리 — 영-기여 흡수(zero-credit absorption, ZCA) — 를 남긴다. 본 연구는 이를 세 층위에서 다룬다. (이론) 최소 toy MDP에서 영-고정점과 그로 인한 양방향 오순위(참값이 음수인 체크의 과대평가 = 흡수, 참값이 양수인 체크의 과소평가 = 은폐)를 증명하고, 이 병리가 특정 배분식이 아니라 기여도-비례 배분 계열 전체(기여도 0 → credit 0)의 구조적 성질임을 보이며, 낙관적 초기화의 일시적 흡수와 질적으로 구별하고(영구·고정점≠참값), 해소에 필요한 임계 가상비용 ε_min을 유도한다. (실측) 2,048-셀 헤즈업 홀덤 봇에서 Q(CHECK)가 정확히 0으로 붕괴함을 관측하고(표준 MC는 −73~+120칩 분포), 그 정책적 결과가 수동화임을 행동 수준에서 보인다 — 턴 결정의 65%를 체크하는 소극 정책. (처방 실증) 1칩 가상비용은 회복을 재현하지 못하고 학습 seed에 따라 부호가 요동하지만(6-seed 평균 −117 mbb/g, 양수 2/6 — 전이구간), 임계를 넘는 상수 5칩 이상이면 수동화가 풀리고(턴 소액 베팅 65%로 전환) 이 병리를 착취하던 미학습 상대(무작위 정책)에 대한 성능이 학습 seed 전반에서 회복된다(−318±123 → +1546±535 mbb/g, 0/6 → 6/6 양수). 결정시점 상수 비용 등 인과적으로 깨끗한 변형에서 재현되어 사후정보·구현 인공물 가설은 통제실험으로 배제하였다. 끝으로 이 효과가 일반화가 아님을 정직하게 보고한다 — 사전 고정한 비용으로 4종 미학습 상대에 검증한 결과 이득은 상대 의존적이며(콜링스테이션 상대는 소폭 손해), 효과는 단일 상대 학습 구성에 한정된다.</w:t>
      </w:r>
    </w:p>
    <w:p>
      <w:pPr>
        <w:spacing w:after="20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주제어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강화학습, Monte-Carlo 제어, 기여도 배분, 보상 형성, 영-기여 흡수, 고정점, 정책 수동화, tabular Q-learning, 헤즈업 노리밋 홀덤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Zero-Credit Absorption under Proportional Credit Assignment and the Resolution of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/>
          <w:i w:val="0"/>
          <w:sz w:val="23"/>
          <w:w w:val="95"/>
          <w:spacing w:val="-12"/>
        </w:rPr>
        <w:t>Policy Passivity by a Threshold Virtual Cost — A Case Study in Tabular MC Hold'em</w:t>
      </w:r>
    </w:p>
    <w:p>
      <w:pPr>
        <w:spacing w:after="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21"/>
          <w:w w:val="95"/>
          <w:spacing w:val="-10"/>
        </w:rPr>
        <w:t>[Author Name]*</w:t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9"/>
          <w:w w:val="95"/>
          <w:spacing w:val="-10"/>
        </w:rPr>
        <w:t>[Affiliation], [Position]</w:t>
      </w:r>
    </w:p>
    <w:p>
      <w:pPr>
        <w:spacing w:after="80" w:before="0" w:line="312" w:lineRule="auto"/>
        <w:jc w:val="center"/>
      </w:pPr>
      <w:r>
        <w:rPr>
          <w:rFonts w:ascii="신명조" w:hAnsi="신명조" w:eastAsia="신명조"/>
          <w:b/>
          <w:i w:val="0"/>
          <w:sz w:val="22"/>
          <w:w w:val="95"/>
          <w:spacing w:val="-11"/>
        </w:rPr>
        <w:t>ABSTRACT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In tabular Monte-Carlo (MC) control, proportional credit assignment—sharing the terminal payoff in proportion to each action's invested chips—is a reasonable variance-reduction choice, but it leaves a structural pathology for zero-cost actions (e.g., CHECK): their credit is exactly zero every episode, pinning the MC fixed point at zero regardless of true value — Zero-Credit Absorption (ZCA). We treat this at three levels. (Theory) In a minimal toy MDP we prove the zero fixed point and the resulting bidirectional mis-ranking (overvaluing bad checks = absorption; undervaluing good checks = masking), show that the pathology is a structural property of the whole family of contribution-proportional schemes (zero contribution → zero credit), distinguish it from the transient absorption of optimistic initialization, and derive the threshold virtual cost ε_min required to dissolve it. (Measurement) In a 2,048-cell heads-up hold'em agent, the learned Q(CHECK) collapses exactly to zero (vs. −73 to +120 chips under standard MC), and the policy consequence is passivity — checking 65% of turn decisions. (Remedy) A one-chip cost fails to reproduce recovery, with its sign fluctuating across training seeds (mean −117 mbb/g, 2/6 positive — a transition zone), but a constant cost of five chips or more exceeds the threshold: passivity dissolves (65% small bets on the turn) and performance against the unseen opponent that exploited this pathology (a random policy) recovers across training seeds (−318±123 → +1546±535 mbb/g; 0/6 → 6/6 positive), reproducing under causally clean variants that rule out hindsight-information and implementation-artifact explanations. Finally, we honestly report that this is not generalization: with the cost fixed in advance, gains against four held-out opponents are opponent-dependent (a slight loss against a calling station), and the effect is confined to single-opponent training.</w:t>
      </w:r>
    </w:p>
    <w:p>
      <w:pPr>
        <w:spacing w:after="120" w:line="384" w:lineRule="auto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 xml:space="preserve">Keywords : </w:t>
      </w: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reinforcement learning, Monte-Carlo control, credit assignment, reward shaping, zero-credit absorption, fixed point, policy passivity, tabular Q-learning, heads-up no-limit hold'em</w:t>
      </w:r>
    </w:p>
    <w:p>
      <w:pPr>
        <w:sectPr>
          <w:pgSz w:w="10772" w:h="14740"/>
          <w:pgMar w:top="1134" w:right="1134" w:bottom="1134" w:left="1134" w:header="850" w:footer="0" w:gutter="0"/>
          <w:cols w:space="360" w:num="1"/>
          <w:docGrid w:linePitch="360"/>
        </w:sectPr>
      </w:pP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1. 서론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연구의 대상은 특정 게임이 아니라 구조적 기여도 배분이 남기는 측정 가능한 병리의 진단과, 그 병리를 해소하는 최소 개입의 임계 조건 규명이다. 표 기반 강화학습은 함수근사의 블랙박스 효과 없이 학습 동역학을 단일변수로 통제·관찰할 수 있으므로, 검증 환경으로는 헤즈업 노리밋 홀덤의 순수 tabular Monte-Carlo 학습을 선택한다. 이 선택은 네 가지 성질 때문이다: ① 비용 0 행동(CHECK)이 게임 규칙 자체에 내장되어 있어 인위적 삽입이 아니고, ② 보상이 말단에서 크고 확률적으로 실현되며, ③ 판돈 규모가 궤적마다 변해 임계 희석(4장)까지 시험되고, ④ 병리(수동화)를 착취하는 상대를 계측기로 쓸 수 있다.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Monte-Carlo 제어에서 종단 보상을 행동에 배분하는 방식은 학습 신호의 분산·편향을 좌우한다. 표준 Monte-Carlo는 편향이 없지만 분산이 크고, 자연스러운 대안은 각 행동이 판돈에 투입한 금액의 비율로 보상을 나누는 비례배분(proportional)이다. 그러나 비용 0 행동(투자액 0, 대표적으로 CHECK)의 비례 credit은 분자가 0이라 항상 0이고, 그 가치 추정의 고정점은 참값과 무관하게 0에 고정된다. 이 0은 행동 순위를 양방향으로 왜곡한다 — 참값이 음수인 체크는 과대평가되어 학습된 음수 행동들을 greedy에서 가리고(흡수), 참값이 양수인 체크는 과소평가되어 열등한 +EV 행동에 밀린다(은폐).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본 논문의 기여는 다음과 같다. (1) 진단 — 위 현상을 영-기여 흡수(ZCA)로 명명해 toy MDP에서 양방향 오순위로 증명하고, 이것이 특정 배분식의 결함이 아니라 기여도-비례 배분 계열 전체의 구조적 성질(기여도 함수가 비용 0 행동에 0을 주는 모든 방식 — Lemma 3)임을 보이며(3장), 실제 2,048-셀 에이전트에서 Q(CHECK)의 정확한 영-고정점과 그 정책적 결과(턴 결정의 65%를 체크하는 수동화)를 측정한다(5장). (2) 임계 이론과 실증 — 비용 0 행동에 가상비용 ε을 부여하면 고정점이 참값 방향으로 풀리며, 해소에 필요한 임계 ε_min을 유도하고(4장), 실제 시스템에서 1칩은 회복을 재현하지 못하고 부호가 seed에 따라 요동하며(전이구간)·임계를 충분히 넘는 상수 5칩 이상은 전 seed 유효함을 재현한다(5장) — 이론이 예측한 임계의 존재가 단조 용량-반응으로 확인된 사례다(임계의 위치까지 예측하는 것은 아니다 — 6장 한계 ①). 아울러 동일 예산의 표준 MC와 3자 비교로 처방의 실용적 가치 — 저분산 배분을 보존한 채 병리만 제거 — 를 분리하고(5.3.1절), 표준 처방 후보(탐색 강화·낙관적 초기화·일률 벌점)가 전부 병리를 해소하지 못함을 통제 비교로 보인다(5.5절). (3) 정직한 범위 규정 — 이 회복이 "일반화"가 아니라 병리를 착취하던 상대에 대한 회복임을 사전 고정 비용의 홀드아웃 검증으로 보이고(콜링스테이션 상대는 소폭 손해), 평가에서 발견·정정한 구현 인공물과 단일 seed의 위험을 방법론적 부정적 결과로 보고한다(5·6장).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2. 관련 연구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기존 알고리즘의 병리를 명명·진단하는 연구는 강화학습에서 확립된 계보를 갖는다: Q-learning의 과대추정 편향 진단[15]은 Double Q-learning[16]이라는 처방으로 이어졌고, 최근에도 primacy bias[17]·dormant neuron[18]처럼 병리 명명 → 진단 → 최소 처방의 형식이 반복된다. 본 연구는 같은 형식을 기여도 배분의 영-고정점에 적용한 것이다.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ZCA를 이루는 부품은 인접 문헌에 모두 존재하나, 본 연구는 그 부호를 뒤집어 같은 구조를 실패 모드로 진단한다. 협력게임 이론의 Shapley value[3]·Shapley Q-value[4]는 null-player 공리(한계 기여 0 → 배분 0)를 공정성의 바람직한 성질로 둔다 — 본 연구의 "비용 0 → credit 0"은 그 대응물이나 진단 방향이 반대다. 같은 직관은 difference rewards[1]·COMA[2]에도 깔려 있다. RUDDER[5]는 return-equivalent 재분배가 최적 정책을 보존함을 보이는데, 비례배분은 비용 0 행동에 대해 return-equivalent가 아니며 ZCA는 그 비등가 영역에서 발생한다(보존 정리의 대우). 처방 측면에서 가상비용은 PBRS가 Q-value 초기화와 등가[6][7]인 틀 안에 위치하나, "비용 0 행동에 선택적으로 가상비용을 부여해 영-고정 오순위를 임계 조건 하에 해소한다"는 처방과 그 임계의 유도·실증은 확인되지 않았고, 가장 가까운 action-penalty[8]는 모든 행동에 일률적이라 선택적이지 않다. 미방문/낙관적 0의 일시적 흡수[9]는 초기화 기인으로, 비례 credit이 구조적으로 0을 재고정하는 본 연구와 기제가 다르다. 단일 seed의 오도 위험은 재현성 문헌[10][11][12]이 확립했으며, 본 연구는 모든 성능 주장을 6개 학습 seed에서 검증하고 단일 seed가 실제로 오도했던 사례를 6장에서 보고한다.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3. 영-기여 흡수의 형식적 특성화 — 양방향 오순위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문제 설정(toy MDP). 결정 상태 s에서 행동 a₁을 한 번 선택한다. 각 행동은 투자액 inv(a₁)≥0을 가지며 비용 0 행동(CHECK)은 inv=0이다. 선택 후 궤적은 투자액 c&gt;0인 후속 행동을 포함하고 종단 보상 P로 끝난다(γ=1). μ(a₁):=E[P|a₁]로 두면 참값은 q*(s,a₁)=μ(a₁)이다.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1&gt; 행동별 return R(s, a₁) / Per-action return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방식 (scheme)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R(s, a₁)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표준 MC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비례배분 (PROP)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[ inv(a₁) / (inv(a₁)+c) ] · P</w:t>
            </w:r>
          </w:p>
        </w:tc>
      </w:tr>
      <w:tr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가상비용 (VIC)</w:t>
            </w:r>
          </w:p>
        </w:tc>
        <w:tc>
          <w:tcPr>
            <w:tcW w:type="dxa" w:w="432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PROP과 동일, 단 inv(CHECK) ← ε &gt; 0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1 (표준 MC). Q_std(s,a₁) → μ(a₁) = q*(s,a₁).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2 (영-고정점). Q_prop(s,CHECK)=[0/(0+c)]·μ(CHECK)=0 (∀ μ(CHECK)). 참값과 무관하고, R≡0이라 표본 분산도 0인 구조적 고정점이다(초기화 잔재 아님 — 방문할수록 0으로 재고정).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Lemma 3 (계열 일반화). 임의의 기여도 함수 φ≥0에 대해 credit(a)=[φ(a)/Σφ]·P 꼴의 비례 credit은 φ(a)=0인 행동에서 Lemma 2와 동일한 영-고정점을 갖는다 — ZCA ⟺ φ(비용 0 행동)=0. 투자액(φ=inv)뿐 아니라 칩과 무관한 공격성 지표(φ=베팅 여부 1/0)에서도 재현되고, 균등 기여(φ≡1)와 표준 MC(return-equivalent)는 면역이다(수치 검증 스크립트 공개). 즉 ZCA는 본 연구가 채택한 특정 배분식의 결함이 아니라, null-player 공리(기여 0 → 배분 0)[3]를 가치 학습 신호로 쓰는 계열 전체의 구조적 함정이다.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 (흡수 — 나쁜 체크의 과대평가). μ_C &lt; μ_B &lt; 0이면 비례배분 greedy는 Q_prop(CHECK)=0 &gt; [b/(b+c)]μ_B이므로 열등한 CHECK를 선택한다(표준 MC는 최적 BET 선택).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Theorem′ (은폐 — 좋은 체크의 과소평가). μ_C &gt; μ_B &gt; 0이면 비례배분 greedy는 Q_prop(CHECK)=0 &lt; [b/(b+c)]μ_B이므로 참-최선인 CHECK를 버리고 열등한 +EV BET을 선택한다(트랩·팟컨트롤 라인의 상실). 즉 ZCA는 특정 부호 조건의 문제가 아니라 CHECK의 참값이 0이 아닌 모든 결정 상태에서의 양방향 오순위다.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1 (낙관적 초기화와의 구분). 0-초기화의 0-선호는 충분한 방문 후 Q→μ로 소거되는 일시적 현상이고 고정점은 참값이다(Lemma 1). 반면 Q_prop(CHECK)=0은 수렴 후에도 유지되는 고정점이며 참값과 다르다(Lemma 2). 낙관적 초기화는 "아직 학습 못 해서", ZCA는 "구조적으로 학습 불가라서"다.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4. 임계 가상비용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Proposition 2 (해소 임계). CHECK에 가상 투자 ε&gt;0을 주면 Q_vic(CHECK)=[ε/(ε+c)]·μ_C로 고정점이 참값 방향으로 풀린다. 두 모드 공통으로, greedy가 참-우월 행동을 선택할 필요충분조건은 k:=[b/(b+c)](μ_B/μ_C)∈(0,1)에 대해  ε &gt; ε_min = k·c/(1−k)  이다(흡수·은폐 모드에서 동형; 수치 검증 일치). 임계 미달이면 Q_vic(CHECK)≈0으로 오순위가 잔존한다 — 이 예측이 5장에서 "1칩은 회복 재현 실패(부호 요동), 5칩 이상 전 seed 유효"로 확인된다. 팟 규모 c가 궤적마다 변하는 환경에서는 고정 소액 ε이 큰 팟에서 희석되므로(ε/(ε+c)→0), 임계는 대표 팟 규모 기준으로 설정해야 한다. 나아가 결정 상태(셀)마다 팟 규모가 달라 ε_min도 셀마다 다르므로, 고정 ε이 일부 셀에서만 임계를 넘는 중간 크기에서는 부분적·seed 의존적 회복(전이구간)이 예상된다 — 5장에서 1칩이 정확히 이 양상을 보인다.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탈출 메커니즘 비교. 무정보 처방은 이 오순위를 풀지 못한다 — 결정시 노이즈는 고정점 0을 바꾸지 못하고, 동률 처리(tie-break)는 strict 부등식(0 &gt; 음수)에 미발동이다. 가상비용과 고정 페널티만 고정점을 옮기며, 가상비용의 고정점만 참값 μ_C에 연동(informed)된다.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5. 실제 MDP에서의 측정과 처방 실증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환경: (라운드 × 포지션 × 핸드 버킷 × 직전 행동) 2,048-셀 추상화, 8개 행동, softmax 탐색(온도 감쇠), 2M 에피소드, 학습 상대 TAG(타이트-공격 룰 정책) 단일. 평가는 100k 게임 × 5회(평가 seed 고정) raw greedy, 성능 주장은 학습 seed 6개(1–5, 42)에서 검증. 단위 mbb/g(=payoff×500). 모든 학습은 6장에서 보고하는 credit 폴백 인공물을 제거(clean)한 코드로 수행했다.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5.1 영-고정점의 실측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표준 MC(PURE)로 학습하면 Q(CHECK)가 −72.9~+119.8칩으로 펼쳐지지만(평균 |Q(CHECK)| 4.48), 비례배분에서는 모든 셀에서 정확히 0이다(평균 0.00, 범위 [0,0]) — Lemma 2의 직접 관측이며 학습 seed·표본과 무관한 구조적 사실이다. 이 불변식("PROP+무개입 → Q(CHECK)==0.000")은 자동 테스트로 저장소에 고정하였다.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5.2 병리의 정책적 결과 — 수동화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영-고정점의 행동적 결과를 보기 위해 학습된 정책의 행동 분포를 측정하면(20k 게임), 무개입 정책은 턴 결정의 65%를 체크한다. 공격 행동의 Q가 0 근방(약학습)이거나 음수인 셀에서 CHECK=0이 greedy를 차지하기 때문이다(Theorem의 실제 형태). 이 수동화는 그것을 착취하는 상대에게 체계적으로 진다 — 무작위 정책(미학습 상대) 대상 성능이 6개 학습 seed 전부에서 음수다(−318±123 mbb/g, 0/6 양수). 무작위 상대조차 이기지 못하는 것은 강함의 문제가 아니라 병리의 증거다(단순 공격 룰 정책은 같은 상대에 +11,705를 얻는다).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 임계 실증 — 1칩은 전이구간, 5칩 이상은 유효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가상비용의 크기를 단일변수로 스윕한 결과(&lt;Table 2&gt;), Proposition 2의 예측과 정합하게 용량-반응이 단조하며, 임계를 충분히 넘는 개입에서만 전 seed 양수가 된다.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2&gt; 가상비용 크기별 성능 / Performance by virtual-cost magnitude (학습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개입 (CHECK 가상 invest)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 (mbb/g)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판정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(참조) 표준 MC — 배분 제거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−312±91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병리 없음·양 지표 열세(5.3.1절)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(ε=0)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수동화(기준선)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1칩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−117±252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2/6¹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평균 음수·부호 요동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5칩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임계 초과 — 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20칩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+1659±825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상수 60칩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+806±451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유효(과용량 방향)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30%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+1546±535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유효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체크시점 팟 ≤15%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−276 ~ −94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0~3/5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전이구간 — 비신뢰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¹ 1칩 조건의 초기 단일 seed(42) 측정은 −376으로 "무효"를 시사했으나, 6-seed 확장에서 부호 요동(2/6 양수)이 드러났다 — 단일 seed의 오도 위험(6장)의 추가 사례이며, 셀별 임계 이질성에 의한 전이구간 해석(4장)과 정합한다. 조건별 분포는 &lt;Figure 1&gt;과 같다. 행동 수준에서 임계 초과 개입은 수동화를 정확히 뒤집는다(&lt;Figure 3&gt;) — 턴 체크 65% → 턴 소액 베팅 65%, 승률 51.8→54.5%, 평균 승리 팟 +19.9→+25.3칩. 즉 Q(CHECK)가 참값(무작위 상대에게 턴 체크는 지분 포기 = 음수)을 학습하자 greedy가 베팅으로 전환한 것이다. 결정시점 상수 비용(fixed-K)에서 재현되므로 사후정보(최종 팟 사용) 가설은 배제되고, 이론(결정시점 상수 ε)과 정확히 대응한다.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5.3.1 표준 MC와의 동일 예산 비교 — 안정성 (예비)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동일 조건(single-TAG·2M·seed 5개)에서 표준 MC(PURE)는 vs TAG +115±25, vs 무작위 −312±91(0/5 양수)로 양 지표 모두 약하다 — 비례배분+임계 비용(+909 / +1230~+1546) 대비 크게 열위. 학습 곡선(&lt;Figure 2&gt;)은 그 원인이 학습 속도가 아니라 안정성임을 보여준다: 표준 MC는 학습 중반까지 비례배분과 대등한 성능(vs TAG 약 +900)을 보이다가 탐색 온도가 낮아지는 후반(약 1.4M 에피소드)에 붕괴한다(고분산 MC의 알려진 불안정). 비례배분 계열은 개입 유무와 무관하게 붕괴하지 않는다. 즉 비례배분은 저분산으로 후반 안정성을 사고, 그 대가인 ZCA를 임계 비용이 치료한다 — 세 방식 중 "강하게 배우고 병도 없는" 조합은 비례배분+임계 비용뿐이다.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5.4 이것은 일반화가 아니다 — 상대별 손익과 범위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비용을 사전에 고정하고(체크시점 팟 30%) 학습에 쓰지 않은 4종 상대로 검증하면(&lt;Table 3&gt;), 이득은 상대 의존적이다.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3&gt; 홀드아웃 상대별 손익 / Held-out opponent deltas (mbb/g, seed 5개 평균)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홀드아웃 상대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Δ(개입−무개입)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개선 seed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무작위 (병리 착취 상대)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+1,864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6/6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LAG (루즈-공격)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+73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Maniac (초공격)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+307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3/5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Nit (초타이트)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+16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</w:tr>
      <w:tr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Station (콜링스테이션)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−177</w:t>
            </w:r>
          </w:p>
        </w:tc>
        <w:tc>
          <w:tcPr>
            <w:tcW w:type="dxa" w:w="288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수동화 해소는 스타일 변화(공격성 증가)이므로, 공격이 통하는 상대(무작위: 큰 회복)와 통하지 않는 상대(콜링스테이션: 베팅에 폴드하지 않으므로 소폭 손해)에서 손익이 갈린다. 따라서 본 효과의 정확한 서술은 "분포 외 일반화"가 아니라 "영-고정점이 만든 수동화 병리의 해소 — 그 병리를 착취하던 상대에 대한 회복"이다. 또한 효과는 단일 상대(TAG) 학습에 한정된다 — 5종 상대 순환/혼합 학습에서는 같은 개입으로 무작위 상대 성능이 회복되지 않았다(−112/−159). 학습 분포 내 성능(vs TAG)은 모든 조건에서 +849~+952로 보존된다.</w:t>
      </w:r>
    </w:p>
    <w:p>
      <w:pPr>
        <w:spacing w:after="80" w:before="120" w:line="312" w:lineRule="auto"/>
        <w:jc w:val="left"/>
      </w:pPr>
      <w:r>
        <w:rPr>
          <w:rFonts w:ascii="신명조" w:hAnsi="신명조" w:eastAsia="신명조"/>
          <w:b/>
          <w:i w:val="0"/>
          <w:sz w:val="20"/>
          <w:w w:val="95"/>
          <w:spacing w:val="-10"/>
        </w:rPr>
        <w:t>5.5 경쟁 처방 비교 — 표준 처방 후보는 병리를 해소하지 못한다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4장의 이론적 기각(무정보 처방은 고정점을 옮기지 못함)을 동일 조건 통제 비교로 실증하였다(각 학습 seed 5개, 그 외 규약 동일). 비교 대상은 ZCA에 대해 제안될 법한 표준 처방 세 가지다: ① 탐색 강화(softmax 온도 하한 2.0), ② 낙관적 초기화(전 셀 Q₀=+50 — Proposition 1의 검증), ③ 일률 가산 벌점(전 행동의 credit에서 5칩 차감 — action-penalty[8]류의 비선택적 비용).</w:t>
      </w:r>
    </w:p>
    <w:p>
      <w:pPr>
        <w:spacing w:after="40" w:before="0" w:line="312" w:lineRule="auto"/>
        <w:jc w:val="center"/>
      </w:pPr>
      <w:r>
        <w:rPr>
          <w:rFonts w:ascii="신명조" w:hAnsi="신명조" w:eastAsia="신명조"/>
          <w:b/>
          <w:i w:val="0"/>
          <w:sz w:val="18"/>
          <w:w w:val="95"/>
          <w:spacing w:val="-9"/>
        </w:rPr>
        <w:t>&lt;Table 4&gt; 경쟁 처방 비교 / Rival remedies under identical protocol (mbb/g, 학습 seed 5–6개)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처방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무작위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양수 seed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/>
                <w:i w:val="0"/>
                <w:sz w:val="17"/>
                <w:w w:val="95"/>
                <w:spacing w:val="-8"/>
              </w:rPr>
              <w:t>vs TAG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없음 (기준선)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−318±123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0/6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+866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① 탐색 강화 (온도≥2.0)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−291±267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1/5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+880±25 (보존)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② 낙관적 초기화 (Q₀=50)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−241±302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1/5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+184±43 (훼손)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③ 일률 벌점 (전 행동 −5칩)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−485±32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0/5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+119±34 (훼손)</w:t>
            </w:r>
          </w:p>
        </w:tc>
      </w:tr>
      <w:tr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선택적 가상비용 (CHECK만 5칩)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+1230±693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5/5</w:t>
            </w:r>
          </w:p>
        </w:tc>
        <w:tc>
          <w:tcPr>
            <w:tcW w:type="dxa" w:w="2160"/>
          </w:tcPr>
          <w:p>
            <w:pPr>
              <w:spacing w:line="276" w:lineRule="auto"/>
              <w:jc w:val="center"/>
            </w:pPr>
            <w:r>
              <w:rPr>
                <w:rFonts w:ascii="신명조" w:hAnsi="신명조" w:eastAsia="신명조"/>
                <w:b w:val="0"/>
                <w:i w:val="0"/>
                <w:sz w:val="17"/>
                <w:w w:val="95"/>
                <w:spacing w:val="-8"/>
              </w:rPr>
              <w:t>+909±50 (보존)</w:t>
            </w:r>
          </w:p>
        </w:tc>
      </w:tr>
    </w:tbl>
    <w:p>
      <w:pPr>
        <w:spacing w:after="80" w:before="0" w:line="384" w:lineRule="auto"/>
        <w:jc w:val="both"/>
      </w:pP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①은 예측대로 무효다 — 방문이 늘수록 0으로 재고정되므로 탐색량은 고정점을 바꾸지 못한다(학습 분포 내 성능은 보존). ②는 회복 실패에 더해 학습 분포 내 성능까지 훼손했다 — 낙관값이 전 셀에서 씻겨 내려가는 데 학습 예산이 소모된다(Proposition 1의 일시성이 유한 예산에서는 비용이 됨). ③은 이론 예측(순위 불변 → 기준선과 동일)보다 나빴다: 고정점의 순위는 불변이나, 벌점이 방문한 셀만 −5칩 이동시켜 미방문 셀의 0-초기값과 상대 격차를 만들고(의도치 않은 상대적 낙관 초기화), 유한 예산 학습을 양 지표 모두에서 훼손했다 — 이 예측 편차 자체를 부정적 결과로 함께 보고한다. 다섯 조건 중 양 지표를 지키며 병리를 해소한 것은 선택적 임계 가상비용뿐이며, 특히 ③과의 대비는 처방의 본질이 "비용 부여" 일반이 아니라 비용 0 행동에 대한 선택성임을 분리 실증한다.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6. 방법론적 부정적 결과와 한계 (정직)</w:t>
      </w:r>
    </w:p>
    <w:p>
      <w:pPr>
        <w:spacing w:after="8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(1) credit 폴백 인공물의 발견과 정정. 초기 구현은 총투자 0인 핸드(전부 체크/폴드)에서 비례 분배가 미정의라 균등분배(payoff/n)로 폴백했고, 이 누수가 비용 0 행동에 비(非)비례 credit을 흘렸다. 단일 학습 seed와 결합해 "1칩 가상비용이 분포 외 일반화의 필요조건"이라는 허위 신호를 만들었으며, 폴백 격리런(원본 수치 완전 재현)과 제거 재실행(효과 소멸)으로 인공물임을 확정하고 폐기하였다 — 단일 seed 오도 위험[10][11][12]의 실제 사례. 본 논문의 모든 수치는 폴백 제거 후의 것이며, 나아가 개입을 실투자 핸드에만 적용하는 격리 실험으로 5장의 회복이 폴백 유사 신호가 아니라 CHECK credit 경로임을 확인했다(실투자-한정 +1245(5/5) ≈ 전체 적용 +1546; 폴백-신호-한정 +206·고분산).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(2) 한계. ① 임계의 정확한 위치는 미확정 — 전이구간(팟 8~15%·상수 1칩 부근)은 seed 요동이 크며(1칩 6-seed 평균 −117·2/6 양수), "충분 초과 시 전 seed 유효"라는 임계의 존재만 주장한다. ② 효과의 범위는 단일 상대 학습·단일 게임(HUNL)·단일 추상화에 한정된다. ③ 홀드아웃 상대도 자작 룰 정책이며 외부·균형 상대(예: 근사 GTO)에 대한 검증은 향후 과제다. ④ ZCA의 부품(null-player 공리·return-equivalence·낙관적 초기화·PBRS≡Q-init)은 기지이며, 기여는 이들을 실패 모드로 재진단하고 임계를 유도·실증하며 범위를 정직히 규정한 데 있다.</w:t>
      </w:r>
    </w:p>
    <w:p>
      <w:pPr>
        <w:spacing w:after="240" w:before="12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7. 결론 및 향후 연구</w:t>
      </w:r>
    </w:p>
    <w:p>
      <w:pPr>
        <w:spacing w:after="12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비례배분 기여도는 비용 0 행동에 구조적 영-고정점(ZCA)을 남기고, 이는 행동 순위를 양방향으로 왜곡하며(흡수·은폐), 낙관적 초기화의 일시적 0-선호와 달리 방문으로 해소되지 않는다 — 이상을 toy MDP에서 증명하고 실제 2,048-셀 에이전트에서 Q(CHECK)=0의 정확한 붕괴와 그 결과인 정책 수동화(턴 체크 65%)로 실측하였다. 유도한 임계 조건의 예측은 단조 용량-반응으로 확인되었다: 무개입은 전 seed 음수(0/6), 1칩은 부호가 요동하는 전이구간(2/6), 상수 5칩 이상이면 수동화가 풀리고(턴 소액 베팅 65%) 병리를 착취하던 미학습 상대에 대한 성능이 학습 seed 전반에서 회복된다(5/5·6/6 양수). 확인된 것은 임계의 존재이며 위치의 예측이 아니다(6장 한계 ①). 사후정보·구현 인공물·평가 순환성 가설은 각각 결정시점 상수 비용, 격리 실험, 사전 고정 홀드아웃으로 배제하였고, "표준 MC를 쓰면 된다"는 대안은 동일 예산 3자 비교(양 지표 열세)로 기각하였다. 동시에 이 회복이 일반화가 아니라 상대 의존적 스타일 변화임을 — 콜링스테이션 상대의 소폭 손해까지 — 정직하게 보고하였다. 본 사례연구의 가치는, 구조적 기여도 배분의 병리를 증명·측정하고, 처방의 작동 조건(임계)을 이론-실험 대응으로 규명하며, 그 한계를 부정적 결과와 함께 드러낸 데 있다.</w:t>
      </w:r>
    </w:p>
    <w:p>
      <w:pPr>
        <w:spacing w:after="16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향후 연구. ZCA의 발생 조건은 게임 특수적이지 않다 — ① 성과가 말단에 한 번 실현되고, ② 행동이 성과와 같은 단위의 자원 투입이며, ③ 투입 0 행동이 존재하는 순차 결정 환경이면 계열 정리(Lemma 3)가 동일 병리의 발생을 예측한다. 이 세 조건은 예컨대 V2G 충·방전 스케줄링(대기 행동의 투입 0, 청구 주기 말 요금)과 에너지 하베스팅 IoT 전송 스케줄링(sleep 행동의 투입 0, 보고 주기 말 효용)에서 성립한다. 두 환경에서의 검증 — 특히 요금 구조가 균질한 V2G에서의 임계 위치 사전 계산, sleep의 대기전력이라는 실재 비용에 의한 가상비용의 물리적 해석 — 을 후속 연구로 진행한다.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145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ose_respon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1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1&gt; Performance vs. virtual-cost magnitude (per-seed dots, mean±SD)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9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lear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9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2&gt; Learning curves vs. training opponent (5-seed mean; standard MC collapses late)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133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turn_behavi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 w:line="312" w:lineRule="auto"/>
        <w:jc w:val="center"/>
      </w:pPr>
      <w:r>
        <w:rPr>
          <w:rFonts w:ascii="신명조" w:hAnsi="신명조" w:eastAsia="신명조"/>
          <w:b w:val="0"/>
          <w:i w:val="0"/>
          <w:sz w:val="17"/>
          <w:w w:val="95"/>
          <w:spacing w:val="-8"/>
        </w:rPr>
        <w:t>&lt;Figure 3&gt; Turn action distribution: passivity (65% check) flips to small bets under threshold cost</w:t>
      </w:r>
    </w:p>
    <w:p>
      <w:pPr>
        <w:sectPr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참고문헌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[1] D. H. Wolpert and K. Tumer, "Optimal payoff functions for members of collectives," Advances in Complex Systems, Vol. 4, No. 2/3, pp. 265-279, 2001.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[2] J. Foerster, G. Farquhar, T. Afouras, N. Nardelli, and S. Whiteson, "Counterfactual multi-agent policy gradients," Proc. AAAI Conf. on Artificial Intelligence, pp. 2974-2982,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[3] L. S. Shapley, "A value for n-person games," Contributions to the Theory of Games II, Princeton Univ. Press, pp. 307-317, 1953.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[4] J. Wang, Y. Zhang, T.-K. Kim, and Y. Gu, "Shapley Q-value: A local reward approach to solve global reward games," Proc. AAAI Conf. on Artificial Intelligence, pp. 7285-7292,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[5] J. A. Arjona-Medina, M. Gillhofer, M. Widrich, T. Unterthiner, J. Brandstetter, and S. Hochreiter, "RUDDER: Return decomposition for delayed rewards," Advances in Neural Information Processing Systems, pp. 13544-13555, 2019.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[6] A. Y. Ng, D. Harada, and S. Russell, "Policy invariance under reward transformations: Theory and application to reward shaping," Proc. Int. Conf. on Machine Learning, pp. 278-287, 1999.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[7] E. Wiewiora, "Potential-based shaping and Q-value initialization are equivalent," Journal of Artificial Intelligence Research, Vol. 19, pp. 205-208, 2003.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[8] S. Koenig and R. G. Simmons, "The effect of representation and knowledge on goal-directed exploration with reinforcement-learning algorithms," Machine Learning, Vol. 22, pp. 227-250, 1996.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[9] T. Rashid, B. Peng, W. Boehmer, and S. Whiteson, "Optimistic exploration even with a pessimistic initialisation," Proc. Int. Conf. on Learning Representations, 2020.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[10] P. Henderson, R. Islam, P. Bachman, J. Pineau, D. Precup, and D. Meger, "Deep reinforcement learning that matters," Proc. AAAI Conf. on Artificial Intelligence, pp. 3207-3214,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[11] C. Colas, O. Sigaud, and P.-Y. Oudeyer, "How many random seeds? Statistical power analysis in deep reinforcement learning experiments," arXiv:1806.08295,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[12] R. Agarwal, M. Schwarzer, P. S. Castro, A. C. Courville, and M. G. Bellemare, "Deep reinforcement learning at the edge of the statistical precipice," Advances in Neural Information Processing Systems, pp. 29304-29320, 2021.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[13] J. Kim, "PokerKit: A comprehensive Python library for fine-grained multi-variant poker game simulations," IEEE Trans. on Games, 2023.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[14] R. S. Sutton and A. G. Barto, Reinforcement Learning: An Introduction, 2nd ed., MIT Press, 2018.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[15] S. Thrun and A. Schwartz, "Issues in using function approximation for reinforcement learning," Proc. of the 1993 Connectionist Models Summer School, pp. 255-263, 1993.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[16] H. van Hasselt, "Double Q-learning," Advances in Neural Information Processing Systems, pp. 2613-2621, 2010.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[17] E. Nikishin, M. Schwarzer, P. D'Oro, P.-L. Bacon, and A. Courville, "The primacy bias in deep reinforcement learning," Proc. Int. Conf. on Machine Learning, pp. 16828-16847, 2022.</w:t>
      </w:r>
    </w:p>
    <w:p>
      <w:pPr>
        <w:spacing w:after="40" w:before="0" w:line="312" w:lineRule="auto"/>
        <w:ind w:left="320" w:hanging="320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[18] G. Sokar, R. Agarwal, P. S. Castro, and U. Evci, "The dormant neuron phenomenon in deep reinforcement learning," Proc. Int. Conf. on Machine Learning, pp. 32145-32168, 2023.</w:t>
      </w:r>
    </w:p>
    <w:p>
      <w:pPr>
        <w:spacing w:after="120" w:before="0" w:line="312" w:lineRule="auto"/>
        <w:jc w:val="center"/>
      </w:pPr>
      <w:r>
        <w:rPr>
          <w:rFonts w:ascii="신명조" w:hAnsi="신명조" w:eastAsia="신명조"/>
          <w:b/>
          <w:i w:val="0"/>
          <w:sz w:val="24"/>
          <w:w w:val="95"/>
          <w:spacing w:val="-12"/>
        </w:rPr>
        <w:t>저자소개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[저자명] (Author Name)  [정회원]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[학사/석사/박사 취득연월 및 학위명]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[현 소속기관 및 직위]  E-mail : [e-mail]</w:t>
      </w:r>
    </w:p>
    <w:p>
      <w:pPr>
        <w:spacing w:after="40" w:before="0" w:line="384" w:lineRule="auto"/>
        <w:jc w:val="both"/>
      </w:pPr>
      <w:r>
        <w:rPr>
          <w:rFonts w:ascii="신명조" w:hAnsi="신명조" w:eastAsia="신명조"/>
          <w:b w:val="0"/>
          <w:i w:val="0"/>
          <w:sz w:val="18"/>
          <w:w w:val="95"/>
          <w:spacing w:val="-9"/>
        </w:rPr>
        <w:t>관심분야 : 강화학습, 게임 AI, 학습 동역학 분석</w:t>
      </w:r>
    </w:p>
    <w:sectPr w:rsidR="00FC693F" w:rsidRPr="0006063C" w:rsidSect="00034616">
      <w:type w:val="continuous"/>
      <w:pgSz w:w="10772" w:h="14740"/>
      <w:pgMar w:top="1134" w:right="1134" w:bottom="1134" w:left="1134" w:header="850" w:footer="0" w:gutter="0"/>
      <w:cols w:space="36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/>
    </w:pPr>
    <w:rPr>
      <w:rFonts w:ascii="신명조" w:hAnsi="신명조" w:eastAsia="신명조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