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12" w:lineRule="auto"/>
        <w:jc w:val="center"/>
      </w:pPr>
      <w:r>
        <w:rPr>
          <w:rFonts w:ascii="신명조" w:hAnsi="신명조" w:eastAsia="신명조"/>
          <w:b/>
          <w:i w:val="0"/>
          <w:sz w:val="30"/>
          <w:w w:val="95"/>
          <w:spacing w:val="-15"/>
        </w:rPr>
        <w:t>비례배분 기여도 하의 영-기여 흡수(zero-credit absorption) 진단과</w:t>
      </w:r>
    </w:p>
    <w:p>
      <w:pPr>
        <w:spacing w:after="160" w:before="0" w:line="312" w:lineRule="auto"/>
        <w:jc w:val="center"/>
      </w:pPr>
      <w:r>
        <w:rPr>
          <w:rFonts w:ascii="신명조" w:hAnsi="신명조" w:eastAsia="신명조"/>
          <w:b/>
          <w:i w:val="0"/>
          <w:sz w:val="30"/>
          <w:w w:val="95"/>
          <w:spacing w:val="-15"/>
        </w:rPr>
        <w:t>최소 가상비용 처방 — tabular Monte-Carlo 포커 학습의 형식적 사례연구</w:t>
      </w:r>
    </w:p>
    <w:p>
      <w:pPr>
        <w:spacing w:after="0" w:before="0" w:line="312" w:lineRule="auto"/>
        <w:jc w:val="center"/>
      </w:pPr>
      <w:r>
        <w:rPr>
          <w:rFonts w:ascii="신명조" w:hAnsi="신명조" w:eastAsia="신명조"/>
          <w:b w:val="0"/>
          <w:i w:val="0"/>
          <w:sz w:val="21"/>
          <w:w w:val="95"/>
          <w:spacing w:val="-10"/>
        </w:rPr>
        <w:t>[저자명]*</w:t>
      </w:r>
    </w:p>
    <w:p>
      <w:pPr>
        <w:spacing w:after="160" w:before="0" w:line="312" w:lineRule="auto"/>
        <w:jc w:val="center"/>
      </w:pPr>
      <w:r>
        <w:rPr>
          <w:rFonts w:ascii="신명조" w:hAnsi="신명조" w:eastAsia="신명조"/>
          <w:b w:val="0"/>
          <w:i w:val="0"/>
          <w:sz w:val="19"/>
          <w:w w:val="95"/>
          <w:spacing w:val="-10"/>
        </w:rPr>
        <w:t>[소속기관] [직위]</w:t>
      </w:r>
    </w:p>
    <w:p>
      <w:pPr>
        <w:spacing w:after="80" w:before="0" w:line="312" w:lineRule="auto"/>
        <w:jc w:val="center"/>
      </w:pPr>
      <w:r>
        <w:rPr>
          <w:rFonts w:ascii="신명조" w:hAnsi="신명조" w:eastAsia="신명조"/>
          <w:b/>
          <w:i w:val="0"/>
          <w:sz w:val="22"/>
          <w:w w:val="95"/>
          <w:spacing w:val="-11"/>
        </w:rPr>
        <w:t>국문 요약</w:t>
      </w:r>
    </w:p>
    <w:p>
      <w:pPr>
        <w:spacing w:after="80" w:before="0" w:line="384" w:lineRule="auto"/>
        <w:jc w:val="both"/>
      </w:pPr>
      <w:r>
        <w:rPr>
          <w:rFonts w:ascii="신명조" w:hAnsi="신명조" w:eastAsia="신명조"/>
          <w:b w:val="0"/>
          <w:i w:val="0"/>
          <w:sz w:val="18"/>
          <w:w w:val="95"/>
          <w:spacing w:val="-9"/>
        </w:rPr>
        <w:t>표 기반 Monte-Carlo 제어로 헤즈업 노리밋 홀덤을 학습할 때, 각 행동의 보상을 그 행동의 투자액 비율로 배분하는 비례배분(proportional) 기여도 정형화는 분산을 줄이는 합리적 선택이다. 본 연구는 이 방식이 비용 0 행동(예: CHECK)에 구조적 병리를 남김을 형식적으로 보인다. 비용 0 행동의 비례 credit은 매 에피소드 정확히 0이므로 그 Monte-Carlo 고정점은 행동의 참 가치와 무관하게 0에 고정되고, 모든 가용 행동이 음(−)의 기댓값인 노드에서 이 0은 열등한 비용 0 행동을 greedy 정책이 영구히 선택하게 만든다. 우리는 이를 영-기여 흡수(zero-credit absorption, ZCA)로 명명하고 최소 toy MDP에서 (i) 영-고정점, (ii) 흡수 정리, (iii) 낙관적 초기화의 일시적 흡수와의 질적 구별(영구적·고정점≠참값)을 증명한다. 또한 무시 가능한 가상비용(virtual information cost, VIC)이 흡수를 해소함을 보이고 그 임계 가상비용을 유도하며, 통제비교로 무정보 노이즈·동점 처리(tie-break)가 흡수를 탈출하지 못함을 보인다. 본 결과는 학습 seed·평가 표본과 무관한 고정점 사실이며, 실제 다단계 MDP의 성능 효과 및 분포 외(out-of-distribution) 일반화 인과는 검증되지 않은 향후 과제로 정직하게 분리한다.</w:t>
      </w:r>
    </w:p>
    <w:p>
      <w:pPr>
        <w:spacing w:after="200" w:line="384" w:lineRule="auto"/>
      </w:pPr>
      <w:r>
        <w:rPr>
          <w:rFonts w:ascii="신명조" w:hAnsi="신명조" w:eastAsia="신명조"/>
          <w:b/>
          <w:i w:val="0"/>
          <w:sz w:val="18"/>
          <w:w w:val="95"/>
          <w:spacing w:val="-9"/>
        </w:rPr>
        <w:t xml:space="preserve">주제어 : </w:t>
      </w:r>
      <w:r>
        <w:rPr>
          <w:rFonts w:ascii="신명조" w:hAnsi="신명조" w:eastAsia="신명조"/>
          <w:b w:val="0"/>
          <w:i w:val="0"/>
          <w:sz w:val="18"/>
          <w:w w:val="95"/>
          <w:spacing w:val="-9"/>
        </w:rPr>
        <w:t>강화학습, Monte-Carlo 제어, 기여도 배분, 보상 형성, 영-기여 흡수, tabular Q-learning, 헤즈업 노리밋 홀덤</w:t>
      </w:r>
    </w:p>
    <w:p>
      <w:pPr>
        <w:spacing w:after="0" w:before="0" w:line="312" w:lineRule="auto"/>
        <w:jc w:val="center"/>
      </w:pPr>
      <w:r>
        <w:rPr>
          <w:rFonts w:ascii="신명조" w:hAnsi="신명조" w:eastAsia="신명조"/>
          <w:b/>
          <w:i w:val="0"/>
          <w:sz w:val="25"/>
          <w:w w:val="95"/>
          <w:spacing w:val="-12"/>
        </w:rPr>
        <w:t>Diagnosing Zero-Credit Absorption under Proportional Credit Assignment and a</w:t>
      </w:r>
    </w:p>
    <w:p>
      <w:pPr>
        <w:spacing w:after="160" w:before="0" w:line="312" w:lineRule="auto"/>
        <w:jc w:val="center"/>
      </w:pPr>
      <w:r>
        <w:rPr>
          <w:rFonts w:ascii="신명조" w:hAnsi="신명조" w:eastAsia="신명조"/>
          <w:b/>
          <w:i w:val="0"/>
          <w:sz w:val="25"/>
          <w:w w:val="95"/>
          <w:spacing w:val="-12"/>
        </w:rPr>
        <w:t>Minimal Virtual-Cost Remedy: A Formal Case Study in Tabular Monte-Carlo Poker Learning</w:t>
      </w:r>
    </w:p>
    <w:p>
      <w:pPr>
        <w:spacing w:after="0" w:before="0" w:line="312" w:lineRule="auto"/>
        <w:jc w:val="center"/>
      </w:pPr>
      <w:r>
        <w:rPr>
          <w:rFonts w:ascii="신명조" w:hAnsi="신명조" w:eastAsia="신명조"/>
          <w:b w:val="0"/>
          <w:i w:val="0"/>
          <w:sz w:val="21"/>
          <w:w w:val="95"/>
          <w:spacing w:val="-10"/>
        </w:rPr>
        <w:t>[Author Name]*</w:t>
      </w:r>
    </w:p>
    <w:p>
      <w:pPr>
        <w:spacing w:after="160" w:before="0" w:line="312" w:lineRule="auto"/>
        <w:jc w:val="center"/>
      </w:pPr>
      <w:r>
        <w:rPr>
          <w:rFonts w:ascii="신명조" w:hAnsi="신명조" w:eastAsia="신명조"/>
          <w:b w:val="0"/>
          <w:i w:val="0"/>
          <w:sz w:val="19"/>
          <w:w w:val="95"/>
          <w:spacing w:val="-10"/>
        </w:rPr>
        <w:t>[Affiliation], [Position]</w:t>
      </w:r>
    </w:p>
    <w:p>
      <w:pPr>
        <w:spacing w:after="80" w:before="0" w:line="312" w:lineRule="auto"/>
        <w:jc w:val="center"/>
      </w:pPr>
      <w:r>
        <w:rPr>
          <w:rFonts w:ascii="신명조" w:hAnsi="신명조" w:eastAsia="신명조"/>
          <w:b/>
          <w:i w:val="0"/>
          <w:sz w:val="22"/>
          <w:w w:val="95"/>
          <w:spacing w:val="-11"/>
        </w:rPr>
        <w:t>ABSTRACT</w:t>
      </w:r>
    </w:p>
    <w:p>
      <w:pPr>
        <w:spacing w:after="80" w:before="0" w:line="384" w:lineRule="auto"/>
        <w:jc w:val="both"/>
      </w:pPr>
      <w:r>
        <w:rPr>
          <w:rFonts w:ascii="신명조" w:hAnsi="신명조" w:eastAsia="신명조"/>
          <w:b w:val="0"/>
          <w:i w:val="0"/>
          <w:sz w:val="18"/>
          <w:w w:val="95"/>
          <w:spacing w:val="-9"/>
        </w:rPr>
        <w:t>In tabular Monte-Carlo (MC) control for heads-up no-limit Texas hold'em, assigning each action a share of the terminal payoff proportional to its invested chips—proportional credit assignment—is a reasonable variance-reduction choice. We show formally that it introduces a structural pathology for zero-cost actions (e.g., CHECK): their proportional credit is exactly zero every episode, so the MC fixed point is pinned to zero regardless of true value, and at any node where all actions have negative expected value this zero makes a greedy policy permanently select the inferior zero-cost action. We name this zero-credit absorption (ZCA) and prove in a minimal toy MDP (i) the zero fixed point, (ii) an absorption theorem, and (iii) its qualitative distinction from the transient absorption of optimistic initialization (permanent; fixed point ≠ true value). We further show a negligible virtual information cost (VIC) dissolves the absorption, derive the exact threshold, and show by controlled comparison that uninformative noise and tie-breaking fail to escape it. These are fixed-point facts independent of seed and sample; the full-MDP performance effect and any link to out-of-distribution generalization are honestly separated as future work.</w:t>
      </w:r>
    </w:p>
    <w:p>
      <w:pPr>
        <w:spacing w:after="120" w:line="384" w:lineRule="auto"/>
      </w:pPr>
      <w:r>
        <w:rPr>
          <w:rFonts w:ascii="신명조" w:hAnsi="신명조" w:eastAsia="신명조"/>
          <w:b/>
          <w:i w:val="0"/>
          <w:sz w:val="18"/>
          <w:w w:val="95"/>
          <w:spacing w:val="-9"/>
        </w:rPr>
        <w:t xml:space="preserve">Keywords : </w:t>
      </w:r>
      <w:r>
        <w:rPr>
          <w:rFonts w:ascii="신명조" w:hAnsi="신명조" w:eastAsia="신명조"/>
          <w:b w:val="0"/>
          <w:i w:val="0"/>
          <w:sz w:val="18"/>
          <w:w w:val="95"/>
          <w:spacing w:val="-9"/>
        </w:rPr>
        <w:t>reinforcement learning, Monte-Carlo control, credit assignment, reward shaping, zero-credit absorption, tabular Q-learning, heads-up no-limit hold'em</w:t>
      </w:r>
    </w:p>
    <w:p>
      <w:pPr>
        <w:sectPr>
          <w:pgSz w:w="10772" w:h="14740"/>
          <w:pgMar w:top="1134" w:right="1134" w:bottom="1134" w:left="1134" w:header="850" w:footer="0" w:gutter="0"/>
          <w:cols w:space="360" w:num="1"/>
          <w:docGrid w:linePitch="360"/>
        </w:sectPr>
      </w:pPr>
    </w:p>
    <w:p>
      <w:pPr>
        <w:spacing w:after="240" w:before="120" w:line="312" w:lineRule="auto"/>
        <w:jc w:val="center"/>
      </w:pPr>
      <w:r>
        <w:rPr>
          <w:rFonts w:ascii="신명조" w:hAnsi="신명조" w:eastAsia="신명조"/>
          <w:b/>
          <w:i w:val="0"/>
          <w:sz w:val="24"/>
          <w:w w:val="95"/>
          <w:spacing w:val="-12"/>
        </w:rPr>
        <w:t>1. 서론</w:t>
      </w:r>
    </w:p>
    <w:p>
      <w:pPr>
        <w:spacing w:after="120" w:before="0" w:line="384" w:lineRule="auto"/>
        <w:jc w:val="both"/>
      </w:pPr>
      <w:r>
        <w:rPr>
          <w:rFonts w:ascii="신명조" w:hAnsi="신명조" w:eastAsia="신명조"/>
          <w:b w:val="0"/>
          <w:i w:val="0"/>
          <w:sz w:val="18"/>
          <w:w w:val="95"/>
          <w:spacing w:val="-9"/>
        </w:rPr>
        <w:t>표 기반 강화학습은 함수근사의 블랙박스 효과 없이 학습 동역학을 단일변수로 통제·관찰할 수 있다. 본 연구의 무대는 헤즈업 노리밋 홀덤을 순수 tabular Monte-Carlo로 학습하는 환경이며, 목적은 강한 봇이 아니라 구조적 기여도 배분이 남기는 측정 가능한 병리의 진단이다.</w:t>
      </w:r>
    </w:p>
    <w:p>
      <w:pPr>
        <w:spacing w:after="120" w:before="0" w:line="384" w:lineRule="auto"/>
        <w:jc w:val="both"/>
      </w:pPr>
      <w:r>
        <w:rPr>
          <w:rFonts w:ascii="신명조" w:hAnsi="신명조" w:eastAsia="신명조"/>
          <w:b w:val="0"/>
          <w:i w:val="0"/>
          <w:sz w:val="18"/>
          <w:w w:val="95"/>
          <w:spacing w:val="-9"/>
        </w:rPr>
        <w:t>Monte-Carlo 제어에서 종단 보상을 행동에 배분하는 방식은 학습 신호의 분산·편향을 좌우한다. 표준 Monte-Carlo는 편향이 없지만 분산이 크고, 자연스러운 대안은 각 행동이 판돈에 투입한 금액의 비율로 보상을 나누는 비례배분(proportional)이다. 그러나 본 연구는 이 합리적 선택이 비용 0 행동(투자액 0, 대표적으로 CHECK)에 구조적 함정을 내포함을 보인다. 비용 0 행동의 비례 credit은 분자가 0이라 항상 0이고, 그 가치 추정의 고정점은 실제 기댓값과 무관하게 0에 고정된다. 이 0은 음의 값으로 올바르게 학습된 다른 행동들보다 높아 보여, greedy 정책이 열등한 비용 0 행동을 영구히 선택한다.</w:t>
      </w:r>
    </w:p>
    <w:p>
      <w:pPr>
        <w:spacing w:after="120" w:before="0" w:line="384" w:lineRule="auto"/>
        <w:jc w:val="both"/>
      </w:pPr>
      <w:r>
        <w:rPr>
          <w:rFonts w:ascii="신명조" w:hAnsi="신명조" w:eastAsia="신명조"/>
          <w:b w:val="0"/>
          <w:i w:val="0"/>
          <w:sz w:val="18"/>
          <w:w w:val="95"/>
          <w:spacing w:val="-9"/>
        </w:rPr>
        <w:t>본 논문의 기여는 (1) 이 현상을 영-기여 흡수(ZCA)로 명명하고 toy MDP에서 형식적으로 증명하며, (2) ZCA가 낙관적 초기화와 고정점 수준에서 질적으로 구별됨을 보이고, (3) 무시 가능한 가상비용 VIC로 흡수를 해소하는 처방과 그 임계를 유도하며 무정보 대안과 통제비교하고, (4) 본 결과의 범위를 — 고정점 사실이되 성능·일반화 인과는 미검증임을 — 정직하게 분리한 것이다.</w:t>
      </w:r>
    </w:p>
    <w:p>
      <w:pPr>
        <w:spacing w:after="240" w:before="120" w:line="312" w:lineRule="auto"/>
        <w:jc w:val="center"/>
      </w:pPr>
      <w:r>
        <w:rPr>
          <w:rFonts w:ascii="신명조" w:hAnsi="신명조" w:eastAsia="신명조"/>
          <w:b/>
          <w:i w:val="0"/>
          <w:sz w:val="24"/>
          <w:w w:val="95"/>
          <w:spacing w:val="-12"/>
        </w:rPr>
        <w:t>2. 관련 연구</w:t>
      </w:r>
    </w:p>
    <w:p>
      <w:pPr>
        <w:spacing w:after="120" w:before="0" w:line="384" w:lineRule="auto"/>
        <w:jc w:val="both"/>
      </w:pPr>
      <w:r>
        <w:rPr>
          <w:rFonts w:ascii="신명조" w:hAnsi="신명조" w:eastAsia="신명조"/>
          <w:b w:val="0"/>
          <w:i w:val="0"/>
          <w:sz w:val="18"/>
          <w:w w:val="95"/>
          <w:spacing w:val="-9"/>
        </w:rPr>
        <w:t>ZCA를 이루는 부품은 인접 문헌에 모두 존재하나, 본 연구는 그 부호를 뒤집어 같은 구조를 실패 모드로 진단한다. 협력게임 이론의 Shapley value[3] 및 Shapley Q-value[4]는 null-player 공리(한계 기여 0 → 배분 0)를 공정성의 바람직한 성질로 둔다 — 본 연구의 "비용 0 → credit 0"은 그 정확한 대응물이나 진단의 방향이 반대다. 같은 직관은 difference rewards[1]·COMA[2]의 counterfactual 신용에도 깔려 있다. RUDDER[5]는 return-equivalent 재분배가 최적 정책을 보존함을 보이는데, 비례배분은 비용 0 행동에 대해 return-equivalent가 아니며 ZCA는 정확히 그 비등가 영역에서 발생한다(보존 정리의 대우).</w:t>
      </w:r>
    </w:p>
    <w:p>
      <w:pPr>
        <w:spacing w:after="120" w:before="0" w:line="384" w:lineRule="auto"/>
        <w:jc w:val="both"/>
      </w:pPr>
      <w:r>
        <w:rPr>
          <w:rFonts w:ascii="신명조" w:hAnsi="신명조" w:eastAsia="신명조"/>
          <w:b w:val="0"/>
          <w:i w:val="0"/>
          <w:sz w:val="18"/>
          <w:w w:val="95"/>
          <w:spacing w:val="-9"/>
        </w:rPr>
        <w:t>처방 측면에서 VIC는 potential-based reward shaping(PBRS)이 Q-value 초기화와 등가[6][7]인 틀 안에 위치한다. 다만 "비용 0(no-op) 행동에 선택적·음·credit 기반 가상비용을 부여해 영-고정 흡수를 깬다"는 처방을 명시한 선행은 확인되지 않았고, 의도상 가장 가까운 action-penalty[8]는 모든 행동에 일률적이라 선택적이지 않다. 한편 미방문/낙관적 0이 음수 행동을 일시적으로 흡수하는 현상은 잘 알려져 있고 비관적 초기화의 영구 미선택도 정식화되어 있으나[9], 이는 초기화·보상값 기인으로 비례 credit이 구조적으로 0을 생성하는 본 연구의 영-기여 흡수와 기제가 다르다. 단일 seed의 결과 오도 위험은 재현성 문헌[10][11][12]이 확립했으며, 본 연구는 이를 5장에서 부정적 결과로 보고한다.</w:t>
      </w:r>
    </w:p>
    <w:p>
      <w:pPr>
        <w:spacing w:after="240" w:before="120" w:line="312" w:lineRule="auto"/>
        <w:jc w:val="center"/>
      </w:pPr>
      <w:r>
        <w:rPr>
          <w:rFonts w:ascii="신명조" w:hAnsi="신명조" w:eastAsia="신명조"/>
          <w:b/>
          <w:i w:val="0"/>
          <w:sz w:val="24"/>
          <w:w w:val="95"/>
          <w:spacing w:val="-12"/>
        </w:rPr>
        <w:t>3. 영-기여 흡수의 형식적 특성화</w:t>
      </w:r>
    </w:p>
    <w:p>
      <w:pPr>
        <w:spacing w:after="120" w:before="0" w:line="384" w:lineRule="auto"/>
        <w:jc w:val="both"/>
      </w:pPr>
      <w:r>
        <w:rPr>
          <w:rFonts w:ascii="신명조" w:hAnsi="신명조" w:eastAsia="신명조"/>
          <w:b w:val="0"/>
          <w:i w:val="0"/>
          <w:sz w:val="18"/>
          <w:w w:val="95"/>
          <w:spacing w:val="-9"/>
        </w:rPr>
        <w:t>문제 설정(toy MDP). 결정 상태 s에서 행동 a₁을 한 번 선택한다. 각 행동은 투자액 inv(a₁)≥0을 가지며 비용 0 행동(CHECK)은 inv=0이다. 선택 후 궤적은 투자액 c&gt;0인 후속 행동을 적어도 하나 포함하고 종단 보상 P로 끝난다(γ=1, 종단 보상만). μ(a₁):=E[P|a₁]로 두면 참값은 q*(s,a₁)=μ(a₁)이다. 세 배분 방식의 행동별 return R(s,a₁)은 &lt;Table 1&gt;과 같고, MC 업데이트 Q←Q+α(R−Q)의 고정점은 E[R]이다(sample-average 또는 감소 α; 상수 α도 평균 보존).</w:t>
      </w:r>
    </w:p>
    <w:p>
      <w:pPr>
        <w:spacing w:after="40" w:before="0" w:line="312" w:lineRule="auto"/>
        <w:jc w:val="center"/>
      </w:pPr>
      <w:r>
        <w:rPr>
          <w:rFonts w:ascii="신명조" w:hAnsi="신명조" w:eastAsia="신명조"/>
          <w:b/>
          <w:i w:val="0"/>
          <w:sz w:val="18"/>
          <w:w w:val="95"/>
          <w:spacing w:val="-9"/>
        </w:rPr>
        <w:t>&lt;Table 1&gt; 행동별 return R(s, a₁) / Per-action return</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line="288" w:lineRule="auto"/>
              <w:jc w:val="center"/>
            </w:pPr>
            <w:r>
              <w:rPr>
                <w:rFonts w:ascii="신명조" w:hAnsi="신명조" w:eastAsia="신명조"/>
                <w:b/>
                <w:i w:val="0"/>
                <w:sz w:val="17"/>
                <w:w w:val="95"/>
                <w:spacing w:val="-8"/>
              </w:rPr>
              <w:t>방식 (scheme)</w:t>
            </w:r>
          </w:p>
        </w:tc>
        <w:tc>
          <w:tcPr>
            <w:tcW w:type="dxa" w:w="4320"/>
          </w:tcPr>
          <w:p>
            <w:pPr>
              <w:spacing w:line="288" w:lineRule="auto"/>
              <w:jc w:val="center"/>
            </w:pPr>
            <w:r>
              <w:rPr>
                <w:rFonts w:ascii="신명조" w:hAnsi="신명조" w:eastAsia="신명조"/>
                <w:b/>
                <w:i w:val="0"/>
                <w:sz w:val="17"/>
                <w:w w:val="95"/>
                <w:spacing w:val="-8"/>
              </w:rPr>
              <w:t>R(s, a₁)</w:t>
            </w:r>
          </w:p>
        </w:tc>
      </w:tr>
      <w:tr>
        <w:tc>
          <w:tcPr>
            <w:tcW w:type="dxa" w:w="4320"/>
          </w:tcPr>
          <w:p>
            <w:pPr>
              <w:spacing w:line="288" w:lineRule="auto"/>
              <w:jc w:val="center"/>
            </w:pPr>
            <w:r>
              <w:rPr>
                <w:rFonts w:ascii="신명조" w:hAnsi="신명조" w:eastAsia="신명조"/>
                <w:b w:val="0"/>
                <w:i w:val="0"/>
                <w:sz w:val="17"/>
                <w:w w:val="95"/>
                <w:spacing w:val="-8"/>
              </w:rPr>
              <w:t>표준 MC</w:t>
            </w:r>
          </w:p>
        </w:tc>
        <w:tc>
          <w:tcPr>
            <w:tcW w:type="dxa" w:w="4320"/>
          </w:tcPr>
          <w:p>
            <w:pPr>
              <w:spacing w:line="288" w:lineRule="auto"/>
              <w:jc w:val="center"/>
            </w:pPr>
            <w:r>
              <w:rPr>
                <w:rFonts w:ascii="신명조" w:hAnsi="신명조" w:eastAsia="신명조"/>
                <w:b w:val="0"/>
                <w:i w:val="0"/>
                <w:sz w:val="17"/>
                <w:w w:val="95"/>
                <w:spacing w:val="-8"/>
              </w:rPr>
              <w:t>P</w:t>
            </w:r>
          </w:p>
        </w:tc>
      </w:tr>
      <w:tr>
        <w:tc>
          <w:tcPr>
            <w:tcW w:type="dxa" w:w="4320"/>
          </w:tcPr>
          <w:p>
            <w:pPr>
              <w:spacing w:line="288" w:lineRule="auto"/>
              <w:jc w:val="center"/>
            </w:pPr>
            <w:r>
              <w:rPr>
                <w:rFonts w:ascii="신명조" w:hAnsi="신명조" w:eastAsia="신명조"/>
                <w:b w:val="0"/>
                <w:i w:val="0"/>
                <w:sz w:val="17"/>
                <w:w w:val="95"/>
                <w:spacing w:val="-8"/>
              </w:rPr>
              <w:t>비례배분 (PROP)</w:t>
            </w:r>
          </w:p>
        </w:tc>
        <w:tc>
          <w:tcPr>
            <w:tcW w:type="dxa" w:w="4320"/>
          </w:tcPr>
          <w:p>
            <w:pPr>
              <w:spacing w:line="288" w:lineRule="auto"/>
              <w:jc w:val="center"/>
            </w:pPr>
            <w:r>
              <w:rPr>
                <w:rFonts w:ascii="신명조" w:hAnsi="신명조" w:eastAsia="신명조"/>
                <w:b w:val="0"/>
                <w:i w:val="0"/>
                <w:sz w:val="17"/>
                <w:w w:val="95"/>
                <w:spacing w:val="-8"/>
              </w:rPr>
              <w:t>[ inv(a₁) / (inv(a₁)+c) ] · P</w:t>
            </w:r>
          </w:p>
        </w:tc>
      </w:tr>
      <w:tr>
        <w:tc>
          <w:tcPr>
            <w:tcW w:type="dxa" w:w="4320"/>
          </w:tcPr>
          <w:p>
            <w:pPr>
              <w:spacing w:line="288" w:lineRule="auto"/>
              <w:jc w:val="center"/>
            </w:pPr>
            <w:r>
              <w:rPr>
                <w:rFonts w:ascii="신명조" w:hAnsi="신명조" w:eastAsia="신명조"/>
                <w:b w:val="0"/>
                <w:i w:val="0"/>
                <w:sz w:val="17"/>
                <w:w w:val="95"/>
                <w:spacing w:val="-8"/>
              </w:rPr>
              <w:t>VIC</w:t>
            </w:r>
          </w:p>
        </w:tc>
        <w:tc>
          <w:tcPr>
            <w:tcW w:type="dxa" w:w="4320"/>
          </w:tcPr>
          <w:p>
            <w:pPr>
              <w:spacing w:line="288" w:lineRule="auto"/>
              <w:jc w:val="center"/>
            </w:pPr>
            <w:r>
              <w:rPr>
                <w:rFonts w:ascii="신명조" w:hAnsi="신명조" w:eastAsia="신명조"/>
                <w:b w:val="0"/>
                <w:i w:val="0"/>
                <w:sz w:val="17"/>
                <w:w w:val="95"/>
                <w:spacing w:val="-8"/>
              </w:rPr>
              <w:t>PROP과 동일, 단 inv(CHECK) ← ε &gt; 0</w:t>
            </w:r>
          </w:p>
        </w:tc>
      </w:tr>
    </w:tbl>
    <w:p>
      <w:pPr>
        <w:spacing w:after="80" w:before="0" w:line="384" w:lineRule="auto"/>
        <w:jc w:val="both"/>
      </w:pPr>
    </w:p>
    <w:p>
      <w:pPr>
        <w:spacing w:after="80" w:before="0" w:line="384" w:lineRule="auto"/>
        <w:jc w:val="both"/>
      </w:pPr>
      <w:r>
        <w:rPr>
          <w:rFonts w:ascii="신명조" w:hAnsi="신명조" w:eastAsia="신명조"/>
          <w:b w:val="0"/>
          <w:i w:val="0"/>
          <w:sz w:val="18"/>
          <w:w w:val="95"/>
          <w:spacing w:val="-9"/>
        </w:rPr>
        <w:t>Lemma 1 (표준 MC의 일치성). Q_std(s,a₁) → μ(a₁) = q*(s,a₁). 증명. R=P이므로 고정점은 E[P|a₁]=μ(a₁). ∎</w:t>
      </w:r>
    </w:p>
    <w:p>
      <w:pPr>
        <w:spacing w:after="80" w:before="0" w:line="384" w:lineRule="auto"/>
        <w:jc w:val="both"/>
      </w:pPr>
      <w:r>
        <w:rPr>
          <w:rFonts w:ascii="신명조" w:hAnsi="신명조" w:eastAsia="신명조"/>
          <w:b w:val="0"/>
          <w:i w:val="0"/>
          <w:sz w:val="18"/>
          <w:w w:val="95"/>
          <w:spacing w:val="-9"/>
        </w:rPr>
        <w:t>Lemma 2 (비용 0 행동의 영-고정점). Q_prop(s,a₁) = [inv(a₁)/(inv(a₁)+c)]·μ(a₁), 특히 Q_prop(s,CHECK) = (0/(0+c))·μ(CHECK) = 0  (∀ μ(CHECK)). 증명. CHECK는 분자가 0. ∎  CHECK의 고정점은 참값과 무관하게 0이며, R≡0이라 표본 분산도 0인 구조적 고정점(초기화 잔재 아님)이다. 비용&gt;0 행동은 μ(a₁)을 inv/(inv+c)&lt;1로 수축하되 부호를 보존한다 — 이 비대칭이 ZCA의 핵심이다.</w:t>
      </w:r>
    </w:p>
    <w:p>
      <w:pPr>
        <w:spacing w:after="80" w:before="0" w:line="384" w:lineRule="auto"/>
        <w:jc w:val="both"/>
      </w:pPr>
      <w:r>
        <w:rPr>
          <w:rFonts w:ascii="신명조" w:hAnsi="신명조" w:eastAsia="신명조"/>
          <w:b w:val="0"/>
          <w:i w:val="0"/>
          <w:sz w:val="18"/>
          <w:w w:val="95"/>
          <w:spacing w:val="-9"/>
        </w:rPr>
        <w:t>Theorem (영-고정점에 의한 흡수). q*(CHECK)=μ_C &lt; μ_B=q*(BET)이고 μ_B&lt;0이면(BET이 낫지만 둘 다 −EV), 비례배분 greedy는 열등한 CHECK를, 표준 MC greedy는 최적 BET을 선택한다. 증명. Q_prop(CHECK)=0 &gt; [b/(b+c)]·μ_B = Q_prop(BET)이나 μ_C&lt;μ_B이므로 CHECK는 열등. 표준 MC는 Q=μ이므로 BET 선택. ∎</w:t>
      </w:r>
    </w:p>
    <w:p>
      <w:pPr>
        <w:spacing w:after="80" w:before="0" w:line="384" w:lineRule="auto"/>
        <w:jc w:val="both"/>
      </w:pPr>
      <w:r>
        <w:rPr>
          <w:rFonts w:ascii="신명조" w:hAnsi="신명조" w:eastAsia="신명조"/>
          <w:b w:val="0"/>
          <w:i w:val="0"/>
          <w:sz w:val="18"/>
          <w:w w:val="95"/>
          <w:spacing w:val="-9"/>
        </w:rPr>
        <w:t>흡수의 적용 범위(중요). 흡수는 덜 나쁜 대안조차 −EV일 때만 발생한다. 어떤 행동이 +EV이면 Q_prop&gt;0=Q_prop(CHECK)라 정상 선택되므로, ZCA가 손상시키는 것은 "모든 가용 행동이 −EV인 노드에서 덜 나쁜 것을 고르는 능력"뿐이다.</w:t>
      </w:r>
    </w:p>
    <w:p>
      <w:pPr>
        <w:spacing w:after="120" w:before="0" w:line="384" w:lineRule="auto"/>
        <w:jc w:val="both"/>
      </w:pPr>
      <w:r>
        <w:rPr>
          <w:rFonts w:ascii="신명조" w:hAnsi="신명조" w:eastAsia="신명조"/>
          <w:b w:val="0"/>
          <w:i w:val="0"/>
          <w:sz w:val="18"/>
          <w:w w:val="95"/>
          <w:spacing w:val="-9"/>
        </w:rPr>
        <w:t>Proposition 1 (낙관적 초기화와의 구분). Q를 0으로 초기화한 표준 MC에서 미방문 행동의 0-선호는 충분한 방문 후 Q→μ로 소거되어 일시적이며 고정점은 참값이다(Lemma 1). 대조적으로 Q_prop(CHECK)=0은 수렴 후에도 유지되는 고정점이며 참값과 다르다(Lemma 2). 즉 표면("0이 음수를 흡수")은 같으나 낙관적 초기화는 "아직 학습 못 해서"(일시적, 고정점=참값), ZCA는 "구조적으로 학습 불가라서"(영구, 고정점=0≠참값)이다. 이 고정점의 차이가 본 진단의 핵심이다.</w:t>
      </w:r>
    </w:p>
    <w:p>
      <w:pPr>
        <w:spacing w:after="240" w:before="120" w:line="312" w:lineRule="auto"/>
        <w:jc w:val="center"/>
      </w:pPr>
      <w:r>
        <w:rPr>
          <w:rFonts w:ascii="신명조" w:hAnsi="신명조" w:eastAsia="신명조"/>
          <w:b/>
          <w:i w:val="0"/>
          <w:sz w:val="24"/>
          <w:w w:val="95"/>
          <w:spacing w:val="-12"/>
        </w:rPr>
        <w:t>4. VIC: 임계 가상비용과 탈출 메커니즘 비교</w:t>
      </w:r>
    </w:p>
    <w:p>
      <w:pPr>
        <w:spacing w:after="120" w:before="0" w:line="384" w:lineRule="auto"/>
        <w:jc w:val="both"/>
      </w:pPr>
      <w:r>
        <w:rPr>
          <w:rFonts w:ascii="신명조" w:hAnsi="신명조" w:eastAsia="신명조"/>
          <w:b w:val="0"/>
          <w:i w:val="0"/>
          <w:sz w:val="18"/>
          <w:w w:val="95"/>
          <w:spacing w:val="-9"/>
        </w:rPr>
        <w:t>Proposition 2 (VIC 복원과 임계). CHECK에 가상 투자 ε&gt;0을 주면 Q_vic(CHECK)=[ε/(ε+c)]·μ_C이다. Theorem 설정에서 greedy가 BET을 선택할 필요충분조건은 [b/(b+c)]·μ_B &gt; [ε/(ε+c)]·μ_C이고, μ_C&lt;0이므로 k := [b/(b+c)]·(μ_B/μ_C) ∈ (0,1)에 대해  ε &gt; ε_min = k·c / (1−k).  ε이 임계를 넘으면 Q_vic(CHECK)가 음으로 내려가 복원되고, 너무 작으면 흡수가 잔존한다. ε_min은 일반적으로 작아 "무시할 1칩이 임계만 넘으면 충분"하다는 설계와 정합한다. 핵심은 VIC가 부여하는 값이 참값 μ_C에 연동(informed)된다는 점이다.</w:t>
      </w:r>
    </w:p>
    <w:p>
      <w:pPr>
        <w:spacing w:after="80" w:before="0" w:line="384" w:lineRule="auto"/>
        <w:jc w:val="both"/>
      </w:pPr>
      <w:r>
        <w:rPr>
          <w:rFonts w:ascii="신명조" w:hAnsi="신명조" w:eastAsia="신명조"/>
          <w:b w:val="0"/>
          <w:i w:val="0"/>
          <w:sz w:val="18"/>
          <w:w w:val="95"/>
          <w:spacing w:val="-9"/>
        </w:rPr>
        <w:t>탈출 메커니즘 통제비교(&lt;Table 2&gt;). 비례배분 위에 VIC, 무정보 노이즈(결정 시 N(0,σ²) 가산), tie-break(정확히 동률일 때만 CHECK 후순위), 고정 페널티(−κ)를 얹어 비교한다.</w:t>
      </w:r>
    </w:p>
    <w:p>
      <w:pPr>
        <w:spacing w:after="40" w:before="0" w:line="312" w:lineRule="auto"/>
        <w:jc w:val="center"/>
      </w:pPr>
      <w:r>
        <w:rPr>
          <w:rFonts w:ascii="신명조" w:hAnsi="신명조" w:eastAsia="신명조"/>
          <w:b/>
          <w:i w:val="0"/>
          <w:sz w:val="18"/>
          <w:w w:val="95"/>
          <w:spacing w:val="-9"/>
        </w:rPr>
        <w:t>&lt;Table 2&gt; 탈출 메커니즘 비교 / Escape-mechanism comparison (μ_C=−5, μ_B=−1, b=c=1)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88" w:lineRule="auto"/>
              <w:jc w:val="center"/>
            </w:pPr>
            <w:r>
              <w:rPr>
                <w:rFonts w:ascii="신명조" w:hAnsi="신명조" w:eastAsia="신명조"/>
                <w:b/>
                <w:i w:val="0"/>
                <w:sz w:val="17"/>
                <w:w w:val="95"/>
                <w:spacing w:val="-8"/>
              </w:rPr>
              <w:t>메커니즘 (mechanism)</w:t>
            </w:r>
          </w:p>
        </w:tc>
        <w:tc>
          <w:tcPr>
            <w:tcW w:type="dxa" w:w="1728"/>
          </w:tcPr>
          <w:p>
            <w:pPr>
              <w:spacing w:line="288" w:lineRule="auto"/>
              <w:jc w:val="center"/>
            </w:pPr>
            <w:r>
              <w:rPr>
                <w:rFonts w:ascii="신명조" w:hAnsi="신명조" w:eastAsia="신명조"/>
                <w:b/>
                <w:i w:val="0"/>
                <w:sz w:val="17"/>
                <w:w w:val="95"/>
                <w:spacing w:val="-8"/>
              </w:rPr>
              <w:t>Q(CHECK)</w:t>
            </w:r>
          </w:p>
        </w:tc>
        <w:tc>
          <w:tcPr>
            <w:tcW w:type="dxa" w:w="1728"/>
          </w:tcPr>
          <w:p>
            <w:pPr>
              <w:spacing w:line="288" w:lineRule="auto"/>
              <w:jc w:val="center"/>
            </w:pPr>
            <w:r>
              <w:rPr>
                <w:rFonts w:ascii="신명조" w:hAnsi="신명조" w:eastAsia="신명조"/>
                <w:b/>
                <w:i w:val="0"/>
                <w:sz w:val="17"/>
                <w:w w:val="95"/>
                <w:spacing w:val="-8"/>
              </w:rPr>
              <w:t>Q(BET)</w:t>
            </w:r>
          </w:p>
        </w:tc>
        <w:tc>
          <w:tcPr>
            <w:tcW w:type="dxa" w:w="1728"/>
          </w:tcPr>
          <w:p>
            <w:pPr>
              <w:spacing w:line="288" w:lineRule="auto"/>
              <w:jc w:val="center"/>
            </w:pPr>
            <w:r>
              <w:rPr>
                <w:rFonts w:ascii="신명조" w:hAnsi="신명조" w:eastAsia="신명조"/>
                <w:b/>
                <w:i w:val="0"/>
                <w:sz w:val="17"/>
                <w:w w:val="95"/>
                <w:spacing w:val="-8"/>
              </w:rPr>
              <w:t>P(pick BET)</w:t>
            </w:r>
          </w:p>
        </w:tc>
        <w:tc>
          <w:tcPr>
            <w:tcW w:type="dxa" w:w="1728"/>
          </w:tcPr>
          <w:p>
            <w:pPr>
              <w:spacing w:line="288" w:lineRule="auto"/>
              <w:jc w:val="center"/>
            </w:pPr>
            <w:r>
              <w:rPr>
                <w:rFonts w:ascii="신명조" w:hAnsi="신명조" w:eastAsia="신명조"/>
                <w:b/>
                <w:i w:val="0"/>
                <w:sz w:val="17"/>
                <w:w w:val="95"/>
                <w:spacing w:val="-8"/>
              </w:rPr>
              <w:t>판정</w:t>
            </w:r>
          </w:p>
        </w:tc>
      </w:tr>
      <w:tr>
        <w:tc>
          <w:tcPr>
            <w:tcW w:type="dxa" w:w="1728"/>
          </w:tcPr>
          <w:p>
            <w:pPr>
              <w:spacing w:line="288" w:lineRule="auto"/>
              <w:jc w:val="center"/>
            </w:pPr>
            <w:r>
              <w:rPr>
                <w:rFonts w:ascii="신명조" w:hAnsi="신명조" w:eastAsia="신명조"/>
                <w:b w:val="0"/>
                <w:i w:val="0"/>
                <w:sz w:val="17"/>
                <w:w w:val="95"/>
                <w:spacing w:val="-8"/>
              </w:rPr>
              <w:t>표준 MC (대조)</w:t>
            </w:r>
          </w:p>
        </w:tc>
        <w:tc>
          <w:tcPr>
            <w:tcW w:type="dxa" w:w="1728"/>
          </w:tcPr>
          <w:p>
            <w:pPr>
              <w:spacing w:line="288" w:lineRule="auto"/>
              <w:jc w:val="center"/>
            </w:pPr>
            <w:r>
              <w:rPr>
                <w:rFonts w:ascii="신명조" w:hAnsi="신명조" w:eastAsia="신명조"/>
                <w:b w:val="0"/>
                <w:i w:val="0"/>
                <w:sz w:val="17"/>
                <w:w w:val="95"/>
                <w:spacing w:val="-8"/>
              </w:rPr>
              <w:t>−5.0</w:t>
            </w:r>
          </w:p>
        </w:tc>
        <w:tc>
          <w:tcPr>
            <w:tcW w:type="dxa" w:w="1728"/>
          </w:tcPr>
          <w:p>
            <w:pPr>
              <w:spacing w:line="288" w:lineRule="auto"/>
              <w:jc w:val="center"/>
            </w:pPr>
            <w:r>
              <w:rPr>
                <w:rFonts w:ascii="신명조" w:hAnsi="신명조" w:eastAsia="신명조"/>
                <w:b w:val="0"/>
                <w:i w:val="0"/>
                <w:sz w:val="17"/>
                <w:w w:val="95"/>
                <w:spacing w:val="-8"/>
              </w:rPr>
              <w:t>−1.0</w:t>
            </w:r>
          </w:p>
        </w:tc>
        <w:tc>
          <w:tcPr>
            <w:tcW w:type="dxa" w:w="1728"/>
          </w:tcPr>
          <w:p>
            <w:pPr>
              <w:spacing w:line="288" w:lineRule="auto"/>
              <w:jc w:val="center"/>
            </w:pPr>
            <w:r>
              <w:rPr>
                <w:rFonts w:ascii="신명조" w:hAnsi="신명조" w:eastAsia="신명조"/>
                <w:b w:val="0"/>
                <w:i w:val="0"/>
                <w:sz w:val="17"/>
                <w:w w:val="95"/>
                <w:spacing w:val="-8"/>
              </w:rPr>
              <w:t>1.00</w:t>
            </w:r>
          </w:p>
        </w:tc>
        <w:tc>
          <w:tcPr>
            <w:tcW w:type="dxa" w:w="1728"/>
          </w:tcPr>
          <w:p>
            <w:pPr>
              <w:spacing w:line="288" w:lineRule="auto"/>
              <w:jc w:val="center"/>
            </w:pPr>
            <w:r>
              <w:rPr>
                <w:rFonts w:ascii="신명조" w:hAnsi="신명조" w:eastAsia="신명조"/>
                <w:b w:val="0"/>
                <w:i w:val="0"/>
                <w:sz w:val="17"/>
                <w:w w:val="95"/>
                <w:spacing w:val="-8"/>
              </w:rPr>
              <w:t>ZCA 없음</w:t>
            </w:r>
          </w:p>
        </w:tc>
      </w:tr>
      <w:tr>
        <w:tc>
          <w:tcPr>
            <w:tcW w:type="dxa" w:w="1728"/>
          </w:tcPr>
          <w:p>
            <w:pPr>
              <w:spacing w:line="288" w:lineRule="auto"/>
              <w:jc w:val="center"/>
            </w:pPr>
            <w:r>
              <w:rPr>
                <w:rFonts w:ascii="신명조" w:hAnsi="신명조" w:eastAsia="신명조"/>
                <w:b w:val="0"/>
                <w:i w:val="0"/>
                <w:sz w:val="17"/>
                <w:w w:val="95"/>
                <w:spacing w:val="-8"/>
              </w:rPr>
              <w:t>비례배분 (ZCA)</w:t>
            </w:r>
          </w:p>
        </w:tc>
        <w:tc>
          <w:tcPr>
            <w:tcW w:type="dxa" w:w="1728"/>
          </w:tcPr>
          <w:p>
            <w:pPr>
              <w:spacing w:line="288" w:lineRule="auto"/>
              <w:jc w:val="center"/>
            </w:pPr>
            <w:r>
              <w:rPr>
                <w:rFonts w:ascii="신명조" w:hAnsi="신명조" w:eastAsia="신명조"/>
                <w:b w:val="0"/>
                <w:i w:val="0"/>
                <w:sz w:val="17"/>
                <w:w w:val="95"/>
                <w:spacing w:val="-8"/>
              </w:rPr>
              <w:t>0.0</w:t>
            </w:r>
          </w:p>
        </w:tc>
        <w:tc>
          <w:tcPr>
            <w:tcW w:type="dxa" w:w="1728"/>
          </w:tcPr>
          <w:p>
            <w:pPr>
              <w:spacing w:line="288" w:lineRule="auto"/>
              <w:jc w:val="center"/>
            </w:pPr>
            <w:r>
              <w:rPr>
                <w:rFonts w:ascii="신명조" w:hAnsi="신명조" w:eastAsia="신명조"/>
                <w:b w:val="0"/>
                <w:i w:val="0"/>
                <w:sz w:val="17"/>
                <w:w w:val="95"/>
                <w:spacing w:val="-8"/>
              </w:rPr>
              <w:t>−0.5</w:t>
            </w:r>
          </w:p>
        </w:tc>
        <w:tc>
          <w:tcPr>
            <w:tcW w:type="dxa" w:w="1728"/>
          </w:tcPr>
          <w:p>
            <w:pPr>
              <w:spacing w:line="288" w:lineRule="auto"/>
              <w:jc w:val="center"/>
            </w:pPr>
            <w:r>
              <w:rPr>
                <w:rFonts w:ascii="신명조" w:hAnsi="신명조" w:eastAsia="신명조"/>
                <w:b w:val="0"/>
                <w:i w:val="0"/>
                <w:sz w:val="17"/>
                <w:w w:val="95"/>
                <w:spacing w:val="-8"/>
              </w:rPr>
              <w:t>0.00</w:t>
            </w:r>
          </w:p>
        </w:tc>
        <w:tc>
          <w:tcPr>
            <w:tcW w:type="dxa" w:w="1728"/>
          </w:tcPr>
          <w:p>
            <w:pPr>
              <w:spacing w:line="288" w:lineRule="auto"/>
              <w:jc w:val="center"/>
            </w:pPr>
            <w:r>
              <w:rPr>
                <w:rFonts w:ascii="신명조" w:hAnsi="신명조" w:eastAsia="신명조"/>
                <w:b w:val="0"/>
                <w:i w:val="0"/>
                <w:sz w:val="17"/>
                <w:w w:val="95"/>
                <w:spacing w:val="-8"/>
              </w:rPr>
              <w:t>흡수</w:t>
            </w:r>
          </w:p>
        </w:tc>
      </w:tr>
      <w:tr>
        <w:tc>
          <w:tcPr>
            <w:tcW w:type="dxa" w:w="1728"/>
          </w:tcPr>
          <w:p>
            <w:pPr>
              <w:spacing w:line="288" w:lineRule="auto"/>
              <w:jc w:val="center"/>
            </w:pPr>
            <w:r>
              <w:rPr>
                <w:rFonts w:ascii="신명조" w:hAnsi="신명조" w:eastAsia="신명조"/>
                <w:b w:val="0"/>
                <w:i w:val="0"/>
                <w:sz w:val="17"/>
                <w:w w:val="95"/>
                <w:spacing w:val="-8"/>
              </w:rPr>
              <w:t>VIC (ε=1)</w:t>
            </w:r>
          </w:p>
        </w:tc>
        <w:tc>
          <w:tcPr>
            <w:tcW w:type="dxa" w:w="1728"/>
          </w:tcPr>
          <w:p>
            <w:pPr>
              <w:spacing w:line="288" w:lineRule="auto"/>
              <w:jc w:val="center"/>
            </w:pPr>
            <w:r>
              <w:rPr>
                <w:rFonts w:ascii="신명조" w:hAnsi="신명조" w:eastAsia="신명조"/>
                <w:b w:val="0"/>
                <w:i w:val="0"/>
                <w:sz w:val="17"/>
                <w:w w:val="95"/>
                <w:spacing w:val="-8"/>
              </w:rPr>
              <w:t>−2.5</w:t>
            </w:r>
          </w:p>
        </w:tc>
        <w:tc>
          <w:tcPr>
            <w:tcW w:type="dxa" w:w="1728"/>
          </w:tcPr>
          <w:p>
            <w:pPr>
              <w:spacing w:line="288" w:lineRule="auto"/>
              <w:jc w:val="center"/>
            </w:pPr>
            <w:r>
              <w:rPr>
                <w:rFonts w:ascii="신명조" w:hAnsi="신명조" w:eastAsia="신명조"/>
                <w:b w:val="0"/>
                <w:i w:val="0"/>
                <w:sz w:val="17"/>
                <w:w w:val="95"/>
                <w:spacing w:val="-8"/>
              </w:rPr>
              <w:t>−0.5</w:t>
            </w:r>
          </w:p>
        </w:tc>
        <w:tc>
          <w:tcPr>
            <w:tcW w:type="dxa" w:w="1728"/>
          </w:tcPr>
          <w:p>
            <w:pPr>
              <w:spacing w:line="288" w:lineRule="auto"/>
              <w:jc w:val="center"/>
            </w:pPr>
            <w:r>
              <w:rPr>
                <w:rFonts w:ascii="신명조" w:hAnsi="신명조" w:eastAsia="신명조"/>
                <w:b w:val="0"/>
                <w:i w:val="0"/>
                <w:sz w:val="17"/>
                <w:w w:val="95"/>
                <w:spacing w:val="-8"/>
              </w:rPr>
              <w:t>1.00</w:t>
            </w:r>
          </w:p>
        </w:tc>
        <w:tc>
          <w:tcPr>
            <w:tcW w:type="dxa" w:w="1728"/>
          </w:tcPr>
          <w:p>
            <w:pPr>
              <w:spacing w:line="288" w:lineRule="auto"/>
              <w:jc w:val="center"/>
            </w:pPr>
            <w:r>
              <w:rPr>
                <w:rFonts w:ascii="신명조" w:hAnsi="신명조" w:eastAsia="신명조"/>
                <w:b w:val="0"/>
                <w:i w:val="0"/>
                <w:sz w:val="17"/>
                <w:w w:val="95"/>
                <w:spacing w:val="-8"/>
              </w:rPr>
              <w:t>복원·informed</w:t>
            </w:r>
          </w:p>
        </w:tc>
      </w:tr>
      <w:tr>
        <w:tc>
          <w:tcPr>
            <w:tcW w:type="dxa" w:w="1728"/>
          </w:tcPr>
          <w:p>
            <w:pPr>
              <w:spacing w:line="288" w:lineRule="auto"/>
              <w:jc w:val="center"/>
            </w:pPr>
            <w:r>
              <w:rPr>
                <w:rFonts w:ascii="신명조" w:hAnsi="신명조" w:eastAsia="신명조"/>
                <w:b w:val="0"/>
                <w:i w:val="0"/>
                <w:sz w:val="17"/>
                <w:w w:val="95"/>
                <w:spacing w:val="-8"/>
              </w:rPr>
              <w:t>노이즈 (σ=1)</w:t>
            </w:r>
          </w:p>
        </w:tc>
        <w:tc>
          <w:tcPr>
            <w:tcW w:type="dxa" w:w="1728"/>
          </w:tcPr>
          <w:p>
            <w:pPr>
              <w:spacing w:line="288" w:lineRule="auto"/>
              <w:jc w:val="center"/>
            </w:pPr>
            <w:r>
              <w:rPr>
                <w:rFonts w:ascii="신명조" w:hAnsi="신명조" w:eastAsia="신명조"/>
                <w:b w:val="0"/>
                <w:i w:val="0"/>
                <w:sz w:val="17"/>
                <w:w w:val="95"/>
                <w:spacing w:val="-8"/>
              </w:rPr>
              <w:t>0.0</w:t>
            </w:r>
          </w:p>
        </w:tc>
        <w:tc>
          <w:tcPr>
            <w:tcW w:type="dxa" w:w="1728"/>
          </w:tcPr>
          <w:p>
            <w:pPr>
              <w:spacing w:line="288" w:lineRule="auto"/>
              <w:jc w:val="center"/>
            </w:pPr>
            <w:r>
              <w:rPr>
                <w:rFonts w:ascii="신명조" w:hAnsi="신명조" w:eastAsia="신명조"/>
                <w:b w:val="0"/>
                <w:i w:val="0"/>
                <w:sz w:val="17"/>
                <w:w w:val="95"/>
                <w:spacing w:val="-8"/>
              </w:rPr>
              <w:t>−0.5</w:t>
            </w:r>
          </w:p>
        </w:tc>
        <w:tc>
          <w:tcPr>
            <w:tcW w:type="dxa" w:w="1728"/>
          </w:tcPr>
          <w:p>
            <w:pPr>
              <w:spacing w:line="288" w:lineRule="auto"/>
              <w:jc w:val="center"/>
            </w:pPr>
            <w:r>
              <w:rPr>
                <w:rFonts w:ascii="신명조" w:hAnsi="신명조" w:eastAsia="신명조"/>
                <w:b w:val="0"/>
                <w:i w:val="0"/>
                <w:sz w:val="17"/>
                <w:w w:val="95"/>
                <w:spacing w:val="-8"/>
              </w:rPr>
              <w:t>0.36</w:t>
            </w:r>
          </w:p>
        </w:tc>
        <w:tc>
          <w:tcPr>
            <w:tcW w:type="dxa" w:w="1728"/>
          </w:tcPr>
          <w:p>
            <w:pPr>
              <w:spacing w:line="288" w:lineRule="auto"/>
              <w:jc w:val="center"/>
            </w:pPr>
            <w:r>
              <w:rPr>
                <w:rFonts w:ascii="신명조" w:hAnsi="신명조" w:eastAsia="신명조"/>
                <w:b w:val="0"/>
                <w:i w:val="0"/>
                <w:sz w:val="17"/>
                <w:w w:val="95"/>
                <w:spacing w:val="-8"/>
              </w:rPr>
              <w:t>미복원</w:t>
            </w:r>
          </w:p>
        </w:tc>
      </w:tr>
      <w:tr>
        <w:tc>
          <w:tcPr>
            <w:tcW w:type="dxa" w:w="1728"/>
          </w:tcPr>
          <w:p>
            <w:pPr>
              <w:spacing w:line="288" w:lineRule="auto"/>
              <w:jc w:val="center"/>
            </w:pPr>
            <w:r>
              <w:rPr>
                <w:rFonts w:ascii="신명조" w:hAnsi="신명조" w:eastAsia="신명조"/>
                <w:b w:val="0"/>
                <w:i w:val="0"/>
                <w:sz w:val="17"/>
                <w:w w:val="95"/>
                <w:spacing w:val="-8"/>
              </w:rPr>
              <w:t>tie-break</w:t>
            </w:r>
          </w:p>
        </w:tc>
        <w:tc>
          <w:tcPr>
            <w:tcW w:type="dxa" w:w="1728"/>
          </w:tcPr>
          <w:p>
            <w:pPr>
              <w:spacing w:line="288" w:lineRule="auto"/>
              <w:jc w:val="center"/>
            </w:pPr>
            <w:r>
              <w:rPr>
                <w:rFonts w:ascii="신명조" w:hAnsi="신명조" w:eastAsia="신명조"/>
                <w:b w:val="0"/>
                <w:i w:val="0"/>
                <w:sz w:val="17"/>
                <w:w w:val="95"/>
                <w:spacing w:val="-8"/>
              </w:rPr>
              <w:t>0.0</w:t>
            </w:r>
          </w:p>
        </w:tc>
        <w:tc>
          <w:tcPr>
            <w:tcW w:type="dxa" w:w="1728"/>
          </w:tcPr>
          <w:p>
            <w:pPr>
              <w:spacing w:line="288" w:lineRule="auto"/>
              <w:jc w:val="center"/>
            </w:pPr>
            <w:r>
              <w:rPr>
                <w:rFonts w:ascii="신명조" w:hAnsi="신명조" w:eastAsia="신명조"/>
                <w:b w:val="0"/>
                <w:i w:val="0"/>
                <w:sz w:val="17"/>
                <w:w w:val="95"/>
                <w:spacing w:val="-8"/>
              </w:rPr>
              <w:t>−0.5</w:t>
            </w:r>
          </w:p>
        </w:tc>
        <w:tc>
          <w:tcPr>
            <w:tcW w:type="dxa" w:w="1728"/>
          </w:tcPr>
          <w:p>
            <w:pPr>
              <w:spacing w:line="288" w:lineRule="auto"/>
              <w:jc w:val="center"/>
            </w:pPr>
            <w:r>
              <w:rPr>
                <w:rFonts w:ascii="신명조" w:hAnsi="신명조" w:eastAsia="신명조"/>
                <w:b w:val="0"/>
                <w:i w:val="0"/>
                <w:sz w:val="17"/>
                <w:w w:val="95"/>
                <w:spacing w:val="-8"/>
              </w:rPr>
              <w:t>0.00</w:t>
            </w:r>
          </w:p>
        </w:tc>
        <w:tc>
          <w:tcPr>
            <w:tcW w:type="dxa" w:w="1728"/>
          </w:tcPr>
          <w:p>
            <w:pPr>
              <w:spacing w:line="288" w:lineRule="auto"/>
              <w:jc w:val="center"/>
            </w:pPr>
            <w:r>
              <w:rPr>
                <w:rFonts w:ascii="신명조" w:hAnsi="신명조" w:eastAsia="신명조"/>
                <w:b w:val="0"/>
                <w:i w:val="0"/>
                <w:sz w:val="17"/>
                <w:w w:val="95"/>
                <w:spacing w:val="-8"/>
              </w:rPr>
              <w:t>미복원</w:t>
            </w:r>
          </w:p>
        </w:tc>
      </w:tr>
      <w:tr>
        <w:tc>
          <w:tcPr>
            <w:tcW w:type="dxa" w:w="1728"/>
          </w:tcPr>
          <w:p>
            <w:pPr>
              <w:spacing w:line="288" w:lineRule="auto"/>
              <w:jc w:val="center"/>
            </w:pPr>
            <w:r>
              <w:rPr>
                <w:rFonts w:ascii="신명조" w:hAnsi="신명조" w:eastAsia="신명조"/>
                <w:b w:val="0"/>
                <w:i w:val="0"/>
                <w:sz w:val="17"/>
                <w:w w:val="95"/>
                <w:spacing w:val="-8"/>
              </w:rPr>
              <w:t>고정 페널티 (κ=1)</w:t>
            </w:r>
          </w:p>
        </w:tc>
        <w:tc>
          <w:tcPr>
            <w:tcW w:type="dxa" w:w="1728"/>
          </w:tcPr>
          <w:p>
            <w:pPr>
              <w:spacing w:line="288" w:lineRule="auto"/>
              <w:jc w:val="center"/>
            </w:pPr>
            <w:r>
              <w:rPr>
                <w:rFonts w:ascii="신명조" w:hAnsi="신명조" w:eastAsia="신명조"/>
                <w:b w:val="0"/>
                <w:i w:val="0"/>
                <w:sz w:val="17"/>
                <w:w w:val="95"/>
                <w:spacing w:val="-8"/>
              </w:rPr>
              <w:t>−1.0</w:t>
            </w:r>
          </w:p>
        </w:tc>
        <w:tc>
          <w:tcPr>
            <w:tcW w:type="dxa" w:w="1728"/>
          </w:tcPr>
          <w:p>
            <w:pPr>
              <w:spacing w:line="288" w:lineRule="auto"/>
              <w:jc w:val="center"/>
            </w:pPr>
            <w:r>
              <w:rPr>
                <w:rFonts w:ascii="신명조" w:hAnsi="신명조" w:eastAsia="신명조"/>
                <w:b w:val="0"/>
                <w:i w:val="0"/>
                <w:sz w:val="17"/>
                <w:w w:val="95"/>
                <w:spacing w:val="-8"/>
              </w:rPr>
              <w:t>−0.5</w:t>
            </w:r>
          </w:p>
        </w:tc>
        <w:tc>
          <w:tcPr>
            <w:tcW w:type="dxa" w:w="1728"/>
          </w:tcPr>
          <w:p>
            <w:pPr>
              <w:spacing w:line="288" w:lineRule="auto"/>
              <w:jc w:val="center"/>
            </w:pPr>
            <w:r>
              <w:rPr>
                <w:rFonts w:ascii="신명조" w:hAnsi="신명조" w:eastAsia="신명조"/>
                <w:b w:val="0"/>
                <w:i w:val="0"/>
                <w:sz w:val="17"/>
                <w:w w:val="95"/>
                <w:spacing w:val="-8"/>
              </w:rPr>
              <w:t>1.00</w:t>
            </w:r>
          </w:p>
        </w:tc>
        <w:tc>
          <w:tcPr>
            <w:tcW w:type="dxa" w:w="1728"/>
          </w:tcPr>
          <w:p>
            <w:pPr>
              <w:spacing w:line="288" w:lineRule="auto"/>
              <w:jc w:val="center"/>
            </w:pPr>
            <w:r>
              <w:rPr>
                <w:rFonts w:ascii="신명조" w:hAnsi="신명조" w:eastAsia="신명조"/>
                <w:b w:val="0"/>
                <w:i w:val="0"/>
                <w:sz w:val="17"/>
                <w:w w:val="95"/>
                <w:spacing w:val="-8"/>
              </w:rPr>
              <w:t>복원·무정보</w:t>
            </w:r>
          </w:p>
        </w:tc>
      </w:tr>
    </w:tbl>
    <w:p>
      <w:pPr>
        <w:spacing w:after="80" w:before="0" w:line="384" w:lineRule="auto"/>
        <w:jc w:val="both"/>
      </w:pPr>
    </w:p>
    <w:p>
      <w:pPr>
        <w:spacing w:after="120" w:before="0" w:line="384" w:lineRule="auto"/>
        <w:jc w:val="both"/>
      </w:pPr>
      <w:r>
        <w:rPr>
          <w:rFonts w:ascii="신명조" w:hAnsi="신명조" w:eastAsia="신명조"/>
          <w:b w:val="0"/>
          <w:i w:val="0"/>
          <w:sz w:val="18"/>
          <w:w w:val="95"/>
          <w:spacing w:val="-9"/>
        </w:rPr>
        <w:t>두 가지가 갈린다. 첫째, strict 흡수 발동. ZCA는 0 &gt; Q(BET) &lt; 0인 부등식이지 동률이 아니므로, "동률일 때만" 작동하는 tie-break은 미발동(0≠−0.5)이며 흡수가 잔존한다. 노이즈도 고정점 0이 −0.5보다 높아 결정 시 잡음을 줘도 열등 CHECK를 약 64% 선택한다(학습 중 zero-mean 노이즈도 MC 고정점을 안 바꿔 동일). 즉 tie-break·노이즈는 strict 흡수를 탈출하지 못한다. 둘째, informed 여부. VIC와 고정 페널티는 복원하나, VIC의 고정점은 μ_C에 연동(informed)되어 서로 다른 μ_C의 다중 비용 0 상태에 자동 적응하는 반면 고정 페널티 −κ는 무정보다. 단 이 적응 이점의 성능 유의성은 실제 MDP 통제비교가 필요한 별도 문제다. 결국 VIC만 "strict 흡수 해소 + 고정점 informed"를 동시 충족한다.</w:t>
      </w:r>
    </w:p>
    <w:p>
      <w:pPr>
        <w:spacing w:after="240" w:before="120" w:line="312" w:lineRule="auto"/>
        <w:jc w:val="center"/>
      </w:pPr>
      <w:r>
        <w:rPr>
          <w:rFonts w:ascii="신명조" w:hAnsi="신명조" w:eastAsia="신명조"/>
          <w:b/>
          <w:i w:val="0"/>
          <w:sz w:val="24"/>
          <w:w w:val="95"/>
          <w:spacing w:val="-12"/>
        </w:rPr>
        <w:t>5. 수치 검증과 한계</w:t>
      </w:r>
    </w:p>
    <w:p>
      <w:pPr>
        <w:spacing w:after="80" w:before="0" w:line="384" w:lineRule="auto"/>
        <w:jc w:val="both"/>
      </w:pPr>
      <w:r>
        <w:rPr>
          <w:rFonts w:ascii="신명조" w:hAnsi="신명조" w:eastAsia="신명조"/>
          <w:b w:val="0"/>
          <w:i w:val="0"/>
          <w:sz w:val="18"/>
          <w:w w:val="95"/>
          <w:spacing w:val="-9"/>
        </w:rPr>
        <w:t>검증. &lt;Table 1&gt;·&lt;Table 2&gt;의 모든 주장을 독립 Monte-Carlo 시뮬레이션(40만 에피소드)으로 검증하였고 결과는 &lt;Table 3&gt; 및 해석식과 일치한다. 특히 비례배분에서 Q(CHECK)=0.000 (≠ μ_C=−5)으로 흡수가, VIC에서 −2.50으로 복원이 재현된다. 임계도 ε_min=0.111에서 ε≤0.111→CHECK·ε&gt;0.111→BET으로 소수점까지 일치한다. 검증 코드는 공개한다.</w:t>
      </w:r>
    </w:p>
    <w:p>
      <w:pPr>
        <w:spacing w:after="40" w:before="0" w:line="312" w:lineRule="auto"/>
        <w:jc w:val="center"/>
      </w:pPr>
      <w:r>
        <w:rPr>
          <w:rFonts w:ascii="신명조" w:hAnsi="신명조" w:eastAsia="신명조"/>
          <w:b/>
          <w:i w:val="0"/>
          <w:sz w:val="18"/>
          <w:w w:val="95"/>
          <w:spacing w:val="-9"/>
        </w:rPr>
        <w:t>&lt;Table 3&gt; 수치 검증 / Numerical verification (40만 ep, b=c=1, μ_C=−5, μ_B=−1, ε=1)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88" w:lineRule="auto"/>
              <w:jc w:val="center"/>
            </w:pPr>
            <w:r>
              <w:rPr>
                <w:rFonts w:ascii="신명조" w:hAnsi="신명조" w:eastAsia="신명조"/>
                <w:b/>
                <w:i w:val="0"/>
                <w:sz w:val="17"/>
                <w:w w:val="95"/>
                <w:spacing w:val="-8"/>
              </w:rPr>
              <w:t>방식</w:t>
            </w:r>
          </w:p>
        </w:tc>
        <w:tc>
          <w:tcPr>
            <w:tcW w:type="dxa" w:w="1728"/>
          </w:tcPr>
          <w:p>
            <w:pPr>
              <w:spacing w:line="288" w:lineRule="auto"/>
              <w:jc w:val="center"/>
            </w:pPr>
            <w:r>
              <w:rPr>
                <w:rFonts w:ascii="신명조" w:hAnsi="신명조" w:eastAsia="신명조"/>
                <w:b/>
                <w:i w:val="0"/>
                <w:sz w:val="17"/>
                <w:w w:val="95"/>
                <w:spacing w:val="-8"/>
              </w:rPr>
              <w:t>Q(CHECK)</w:t>
            </w:r>
          </w:p>
        </w:tc>
        <w:tc>
          <w:tcPr>
            <w:tcW w:type="dxa" w:w="1728"/>
          </w:tcPr>
          <w:p>
            <w:pPr>
              <w:spacing w:line="288" w:lineRule="auto"/>
              <w:jc w:val="center"/>
            </w:pPr>
            <w:r>
              <w:rPr>
                <w:rFonts w:ascii="신명조" w:hAnsi="신명조" w:eastAsia="신명조"/>
                <w:b/>
                <w:i w:val="0"/>
                <w:sz w:val="17"/>
                <w:w w:val="95"/>
                <w:spacing w:val="-8"/>
              </w:rPr>
              <w:t>Q(BET)</w:t>
            </w:r>
          </w:p>
        </w:tc>
        <w:tc>
          <w:tcPr>
            <w:tcW w:type="dxa" w:w="1728"/>
          </w:tcPr>
          <w:p>
            <w:pPr>
              <w:spacing w:line="288" w:lineRule="auto"/>
              <w:jc w:val="center"/>
            </w:pPr>
            <w:r>
              <w:rPr>
                <w:rFonts w:ascii="신명조" w:hAnsi="신명조" w:eastAsia="신명조"/>
                <w:b/>
                <w:i w:val="0"/>
                <w:sz w:val="17"/>
                <w:w w:val="95"/>
                <w:spacing w:val="-8"/>
              </w:rPr>
              <w:t>greedy</w:t>
            </w:r>
          </w:p>
        </w:tc>
        <w:tc>
          <w:tcPr>
            <w:tcW w:type="dxa" w:w="1728"/>
          </w:tcPr>
          <w:p>
            <w:pPr>
              <w:spacing w:line="288" w:lineRule="auto"/>
              <w:jc w:val="center"/>
            </w:pPr>
            <w:r>
              <w:rPr>
                <w:rFonts w:ascii="신명조" w:hAnsi="신명조" w:eastAsia="신명조"/>
                <w:b/>
                <w:i w:val="0"/>
                <w:sz w:val="17"/>
                <w:w w:val="95"/>
                <w:spacing w:val="-8"/>
              </w:rPr>
              <w:t>판정</w:t>
            </w:r>
          </w:p>
        </w:tc>
      </w:tr>
      <w:tr>
        <w:tc>
          <w:tcPr>
            <w:tcW w:type="dxa" w:w="1728"/>
          </w:tcPr>
          <w:p>
            <w:pPr>
              <w:spacing w:line="288" w:lineRule="auto"/>
              <w:jc w:val="center"/>
            </w:pPr>
            <w:r>
              <w:rPr>
                <w:rFonts w:ascii="신명조" w:hAnsi="신명조" w:eastAsia="신명조"/>
                <w:b w:val="0"/>
                <w:i w:val="0"/>
                <w:sz w:val="17"/>
                <w:w w:val="95"/>
                <w:spacing w:val="-8"/>
              </w:rPr>
              <w:t>표준 MC</w:t>
            </w:r>
          </w:p>
        </w:tc>
        <w:tc>
          <w:tcPr>
            <w:tcW w:type="dxa" w:w="1728"/>
          </w:tcPr>
          <w:p>
            <w:pPr>
              <w:spacing w:line="288" w:lineRule="auto"/>
              <w:jc w:val="center"/>
            </w:pPr>
            <w:r>
              <w:rPr>
                <w:rFonts w:ascii="신명조" w:hAnsi="신명조" w:eastAsia="신명조"/>
                <w:b w:val="0"/>
                <w:i w:val="0"/>
                <w:sz w:val="17"/>
                <w:w w:val="95"/>
                <w:spacing w:val="-8"/>
              </w:rPr>
              <w:t>−4.99 (≈μ_C)</w:t>
            </w:r>
          </w:p>
        </w:tc>
        <w:tc>
          <w:tcPr>
            <w:tcW w:type="dxa" w:w="1728"/>
          </w:tcPr>
          <w:p>
            <w:pPr>
              <w:spacing w:line="288" w:lineRule="auto"/>
              <w:jc w:val="center"/>
            </w:pPr>
            <w:r>
              <w:rPr>
                <w:rFonts w:ascii="신명조" w:hAnsi="신명조" w:eastAsia="신명조"/>
                <w:b w:val="0"/>
                <w:i w:val="0"/>
                <w:sz w:val="17"/>
                <w:w w:val="95"/>
                <w:spacing w:val="-8"/>
              </w:rPr>
              <w:t>−1.00</w:t>
            </w:r>
          </w:p>
        </w:tc>
        <w:tc>
          <w:tcPr>
            <w:tcW w:type="dxa" w:w="1728"/>
          </w:tcPr>
          <w:p>
            <w:pPr>
              <w:spacing w:line="288" w:lineRule="auto"/>
              <w:jc w:val="center"/>
            </w:pPr>
            <w:r>
              <w:rPr>
                <w:rFonts w:ascii="신명조" w:hAnsi="신명조" w:eastAsia="신명조"/>
                <w:b w:val="0"/>
                <w:i w:val="0"/>
                <w:sz w:val="17"/>
                <w:w w:val="95"/>
                <w:spacing w:val="-8"/>
              </w:rPr>
              <w:t>BET</w:t>
            </w:r>
          </w:p>
        </w:tc>
        <w:tc>
          <w:tcPr>
            <w:tcW w:type="dxa" w:w="1728"/>
          </w:tcPr>
          <w:p>
            <w:pPr>
              <w:spacing w:line="288" w:lineRule="auto"/>
              <w:jc w:val="center"/>
            </w:pPr>
            <w:r>
              <w:rPr>
                <w:rFonts w:ascii="신명조" w:hAnsi="신명조" w:eastAsia="신명조"/>
                <w:b w:val="0"/>
                <w:i w:val="0"/>
                <w:sz w:val="17"/>
                <w:w w:val="95"/>
                <w:spacing w:val="-8"/>
              </w:rPr>
              <w:t>정상(최적)</w:t>
            </w:r>
          </w:p>
        </w:tc>
      </w:tr>
      <w:tr>
        <w:tc>
          <w:tcPr>
            <w:tcW w:type="dxa" w:w="1728"/>
          </w:tcPr>
          <w:p>
            <w:pPr>
              <w:spacing w:line="288" w:lineRule="auto"/>
              <w:jc w:val="center"/>
            </w:pPr>
            <w:r>
              <w:rPr>
                <w:rFonts w:ascii="신명조" w:hAnsi="신명조" w:eastAsia="신명조"/>
                <w:b w:val="0"/>
                <w:i w:val="0"/>
                <w:sz w:val="17"/>
                <w:w w:val="95"/>
                <w:spacing w:val="-8"/>
              </w:rPr>
              <w:t>비례배분</w:t>
            </w:r>
          </w:p>
        </w:tc>
        <w:tc>
          <w:tcPr>
            <w:tcW w:type="dxa" w:w="1728"/>
          </w:tcPr>
          <w:p>
            <w:pPr>
              <w:spacing w:line="288" w:lineRule="auto"/>
              <w:jc w:val="center"/>
            </w:pPr>
            <w:r>
              <w:rPr>
                <w:rFonts w:ascii="신명조" w:hAnsi="신명조" w:eastAsia="신명조"/>
                <w:b w:val="0"/>
                <w:i w:val="0"/>
                <w:sz w:val="17"/>
                <w:w w:val="95"/>
                <w:spacing w:val="-8"/>
              </w:rPr>
              <w:t>0.000 (≠μ_C)</w:t>
            </w:r>
          </w:p>
        </w:tc>
        <w:tc>
          <w:tcPr>
            <w:tcW w:type="dxa" w:w="1728"/>
          </w:tcPr>
          <w:p>
            <w:pPr>
              <w:spacing w:line="288" w:lineRule="auto"/>
              <w:jc w:val="center"/>
            </w:pPr>
            <w:r>
              <w:rPr>
                <w:rFonts w:ascii="신명조" w:hAnsi="신명조" w:eastAsia="신명조"/>
                <w:b w:val="0"/>
                <w:i w:val="0"/>
                <w:sz w:val="17"/>
                <w:w w:val="95"/>
                <w:spacing w:val="-8"/>
              </w:rPr>
              <w:t>−0.50</w:t>
            </w:r>
          </w:p>
        </w:tc>
        <w:tc>
          <w:tcPr>
            <w:tcW w:type="dxa" w:w="1728"/>
          </w:tcPr>
          <w:p>
            <w:pPr>
              <w:spacing w:line="288" w:lineRule="auto"/>
              <w:jc w:val="center"/>
            </w:pPr>
            <w:r>
              <w:rPr>
                <w:rFonts w:ascii="신명조" w:hAnsi="신명조" w:eastAsia="신명조"/>
                <w:b w:val="0"/>
                <w:i w:val="0"/>
                <w:sz w:val="17"/>
                <w:w w:val="95"/>
                <w:spacing w:val="-8"/>
              </w:rPr>
              <w:t>CHECK</w:t>
            </w:r>
          </w:p>
        </w:tc>
        <w:tc>
          <w:tcPr>
            <w:tcW w:type="dxa" w:w="1728"/>
          </w:tcPr>
          <w:p>
            <w:pPr>
              <w:spacing w:line="288" w:lineRule="auto"/>
              <w:jc w:val="center"/>
            </w:pPr>
            <w:r>
              <w:rPr>
                <w:rFonts w:ascii="신명조" w:hAnsi="신명조" w:eastAsia="신명조"/>
                <w:b w:val="0"/>
                <w:i w:val="0"/>
                <w:sz w:val="17"/>
                <w:w w:val="95"/>
                <w:spacing w:val="-8"/>
              </w:rPr>
              <w:t>흡수(열등)</w:t>
            </w:r>
          </w:p>
        </w:tc>
      </w:tr>
      <w:tr>
        <w:tc>
          <w:tcPr>
            <w:tcW w:type="dxa" w:w="1728"/>
          </w:tcPr>
          <w:p>
            <w:pPr>
              <w:spacing w:line="288" w:lineRule="auto"/>
              <w:jc w:val="center"/>
            </w:pPr>
            <w:r>
              <w:rPr>
                <w:rFonts w:ascii="신명조" w:hAnsi="신명조" w:eastAsia="신명조"/>
                <w:b w:val="0"/>
                <w:i w:val="0"/>
                <w:sz w:val="17"/>
                <w:w w:val="95"/>
                <w:spacing w:val="-8"/>
              </w:rPr>
              <w:t>VIC</w:t>
            </w:r>
          </w:p>
        </w:tc>
        <w:tc>
          <w:tcPr>
            <w:tcW w:type="dxa" w:w="1728"/>
          </w:tcPr>
          <w:p>
            <w:pPr>
              <w:spacing w:line="288" w:lineRule="auto"/>
              <w:jc w:val="center"/>
            </w:pPr>
            <w:r>
              <w:rPr>
                <w:rFonts w:ascii="신명조" w:hAnsi="신명조" w:eastAsia="신명조"/>
                <w:b w:val="0"/>
                <w:i w:val="0"/>
                <w:sz w:val="17"/>
                <w:w w:val="95"/>
                <w:spacing w:val="-8"/>
              </w:rPr>
              <w:t>−2.50</w:t>
            </w:r>
          </w:p>
        </w:tc>
        <w:tc>
          <w:tcPr>
            <w:tcW w:type="dxa" w:w="1728"/>
          </w:tcPr>
          <w:p>
            <w:pPr>
              <w:spacing w:line="288" w:lineRule="auto"/>
              <w:jc w:val="center"/>
            </w:pPr>
            <w:r>
              <w:rPr>
                <w:rFonts w:ascii="신명조" w:hAnsi="신명조" w:eastAsia="신명조"/>
                <w:b w:val="0"/>
                <w:i w:val="0"/>
                <w:sz w:val="17"/>
                <w:w w:val="95"/>
                <w:spacing w:val="-8"/>
              </w:rPr>
              <w:t>−0.50</w:t>
            </w:r>
          </w:p>
        </w:tc>
        <w:tc>
          <w:tcPr>
            <w:tcW w:type="dxa" w:w="1728"/>
          </w:tcPr>
          <w:p>
            <w:pPr>
              <w:spacing w:line="288" w:lineRule="auto"/>
              <w:jc w:val="center"/>
            </w:pPr>
            <w:r>
              <w:rPr>
                <w:rFonts w:ascii="신명조" w:hAnsi="신명조" w:eastAsia="신명조"/>
                <w:b w:val="0"/>
                <w:i w:val="0"/>
                <w:sz w:val="17"/>
                <w:w w:val="95"/>
                <w:spacing w:val="-8"/>
              </w:rPr>
              <w:t>BET</w:t>
            </w:r>
          </w:p>
        </w:tc>
        <w:tc>
          <w:tcPr>
            <w:tcW w:type="dxa" w:w="1728"/>
          </w:tcPr>
          <w:p>
            <w:pPr>
              <w:spacing w:line="288" w:lineRule="auto"/>
              <w:jc w:val="center"/>
            </w:pPr>
            <w:r>
              <w:rPr>
                <w:rFonts w:ascii="신명조" w:hAnsi="신명조" w:eastAsia="신명조"/>
                <w:b w:val="0"/>
                <w:i w:val="0"/>
                <w:sz w:val="17"/>
                <w:w w:val="95"/>
                <w:spacing w:val="-8"/>
              </w:rPr>
              <w:t>복원</w:t>
            </w:r>
          </w:p>
        </w:tc>
      </w:tr>
    </w:tbl>
    <w:p>
      <w:pPr>
        <w:spacing w:after="80" w:before="0" w:line="384" w:lineRule="auto"/>
        <w:jc w:val="both"/>
      </w:pPr>
    </w:p>
    <w:p>
      <w:pPr>
        <w:spacing w:after="120" w:before="0" w:line="384" w:lineRule="auto"/>
        <w:jc w:val="both"/>
      </w:pPr>
      <w:r>
        <w:rPr>
          <w:rFonts w:ascii="신명조" w:hAnsi="신명조" w:eastAsia="신명조"/>
          <w:b w:val="0"/>
          <w:i w:val="0"/>
          <w:sz w:val="18"/>
          <w:w w:val="95"/>
          <w:spacing w:val="-9"/>
        </w:rPr>
        <w:t>범위와 한계(정직). (1) 본 결과는 학습 seed·평가 표본과 무관한 고정점 사실이다. 실제 2,048-셀 MDP에서는 c가 궤적마다 변하나 핵심(비용 0의 구조적 0-credit)은 동일하다. (2) 본 정리는 ZCA의 존재·특성화이지 VIC의 성능·일반화 인과가 아니다. 예비 실험에서 VIC 제거가 미학습 상대 대상 선택적 저하를 보였으나 학습 seed 전반의 통제실험에서 재현되지 않았다 — 따라서 "VIC=분포 일반화의 필요조건"이라는 강한 주장은 지지하지 않으며, 단일 seed 오도 가능성[10][11][12]과 정합하는 부정적 결과로 보고한다. 비용 0의 영-고정점(seed 무관)과 OOD 성능(seed 의존)은 별개 층위다. (3) VIC는 임계 이상이면 작동하는 한 처방이며 유일·최선이 아니다(4장의 고정 페널티 대비 성능 우열은 미검증). (4) ZCA의 부품은 알려져 있고 VIC는 PBRS≡Q-init[7] 틀 안에 있어 알고리즘 신규성은 제한적이다 — 기여는 알려진 구조의 미보고 실패 모드를 명명·형식화하고 임계를 유도하며 범위를 정직히 분리한 데 있다. (5) 단일 추상화·단일 게임에 한정된다.</w:t>
      </w:r>
    </w:p>
    <w:p>
      <w:pPr>
        <w:spacing w:after="240" w:before="120" w:line="312" w:lineRule="auto"/>
        <w:jc w:val="center"/>
      </w:pPr>
      <w:r>
        <w:rPr>
          <w:rFonts w:ascii="신명조" w:hAnsi="신명조" w:eastAsia="신명조"/>
          <w:b/>
          <w:i w:val="0"/>
          <w:sz w:val="24"/>
          <w:w w:val="95"/>
          <w:spacing w:val="-12"/>
        </w:rPr>
        <w:t>6. 결론</w:t>
      </w:r>
    </w:p>
    <w:p>
      <w:pPr>
        <w:spacing w:after="160" w:before="0" w:line="384" w:lineRule="auto"/>
        <w:jc w:val="both"/>
      </w:pPr>
      <w:r>
        <w:rPr>
          <w:rFonts w:ascii="신명조" w:hAnsi="신명조" w:eastAsia="신명조"/>
          <w:b w:val="0"/>
          <w:i w:val="0"/>
          <w:sz w:val="18"/>
          <w:w w:val="95"/>
          <w:spacing w:val="-9"/>
        </w:rPr>
        <w:t>본 연구는 tabular Monte-Carlo 비례배분 기여도가 비용 0 행동에 남기는 구조적 병리를 영-기여 흡수(ZCA)로 명명하고, toy MDP에서 영-고정점과 흡수를 증명하였다. ZCA는 낙관적 초기화와 고정점 수준에서 질적으로 구별되며, 최소 가상비용 VIC가 명시적 임계 이상에서 이를 해소함을, 그리고 무정보 노이즈·tie-break은 strict 흡수를 탈출하지 못함을 보였다. 이 결과들은 seed·표본과 무관한 형식적 사실이며, 실제 다단계 MDP의 성능 효과와 분포 외 일반화 인과는 향후 과제로 분리하였다. 본 사례연구의 가치는 성능이 아니라 구조적 기여도 배분의 측정 가능한 병리를 형식적으로 진단하고 한계를 정직하게 드러낸 데 있다.</w:t>
      </w:r>
    </w:p>
    <w:p>
      <w:pPr>
        <w:spacing w:after="120" w:before="0" w:line="312" w:lineRule="auto"/>
        <w:jc w:val="center"/>
      </w:pPr>
      <w:r>
        <w:rPr>
          <w:rFonts w:ascii="신명조" w:hAnsi="신명조" w:eastAsia="신명조"/>
          <w:b/>
          <w:i w:val="0"/>
          <w:sz w:val="24"/>
          <w:w w:val="95"/>
          <w:spacing w:val="-12"/>
        </w:rPr>
        <w:t>참고문헌</w:t>
      </w:r>
    </w:p>
    <w:p>
      <w:pPr>
        <w:spacing w:after="40" w:before="0" w:line="312" w:lineRule="auto"/>
        <w:ind w:left="320" w:hanging="320"/>
        <w:jc w:val="both"/>
      </w:pPr>
      <w:r>
        <w:rPr>
          <w:rFonts w:ascii="신명조" w:hAnsi="신명조" w:eastAsia="신명조"/>
          <w:b w:val="0"/>
          <w:i w:val="0"/>
          <w:sz w:val="18"/>
          <w:w w:val="95"/>
          <w:spacing w:val="-9"/>
        </w:rPr>
        <w:t>[1] D. H. Wolpert and K. Tumer, "Optimal payoff functions for members of collectives," Advances in Complex Systems, Vol. 4, No. 2/3, pp. 265-279, 2001.</w:t>
      </w:r>
    </w:p>
    <w:p>
      <w:pPr>
        <w:spacing w:after="40" w:before="0" w:line="312" w:lineRule="auto"/>
        <w:ind w:left="320" w:hanging="320"/>
        <w:jc w:val="both"/>
      </w:pPr>
      <w:r>
        <w:rPr>
          <w:rFonts w:ascii="신명조" w:hAnsi="신명조" w:eastAsia="신명조"/>
          <w:b w:val="0"/>
          <w:i w:val="0"/>
          <w:sz w:val="18"/>
          <w:w w:val="95"/>
          <w:spacing w:val="-9"/>
        </w:rPr>
        <w:t>[2] J. Foerster, G. Farquhar, T. Afouras, N. Nardelli, and S. Whiteson, "Counterfactual multi-agent policy gradients," Proc. AAAI Conf. on Artificial Intelligence, pp. 2974-2982, 2018.</w:t>
      </w:r>
    </w:p>
    <w:p>
      <w:pPr>
        <w:spacing w:after="40" w:before="0" w:line="312" w:lineRule="auto"/>
        <w:ind w:left="320" w:hanging="320"/>
        <w:jc w:val="both"/>
      </w:pPr>
      <w:r>
        <w:rPr>
          <w:rFonts w:ascii="신명조" w:hAnsi="신명조" w:eastAsia="신명조"/>
          <w:b w:val="0"/>
          <w:i w:val="0"/>
          <w:sz w:val="18"/>
          <w:w w:val="95"/>
          <w:spacing w:val="-9"/>
        </w:rPr>
        <w:t>[3] L. S. Shapley, "A value for n-person games," Contributions to the Theory of Games II, Princeton Univ. Press, pp. 307-317, 1953.</w:t>
      </w:r>
    </w:p>
    <w:p>
      <w:pPr>
        <w:spacing w:after="40" w:before="0" w:line="312" w:lineRule="auto"/>
        <w:ind w:left="320" w:hanging="320"/>
        <w:jc w:val="both"/>
      </w:pPr>
      <w:r>
        <w:rPr>
          <w:rFonts w:ascii="신명조" w:hAnsi="신명조" w:eastAsia="신명조"/>
          <w:b w:val="0"/>
          <w:i w:val="0"/>
          <w:sz w:val="18"/>
          <w:w w:val="95"/>
          <w:spacing w:val="-9"/>
        </w:rPr>
        <w:t>[4] J. Wang, Y. Zhang, T.-K. Kim, and Y. Gu, "Shapley Q-value: A local reward approach to solve global reward games," Proc. AAAI Conf. on Artificial Intelligence, pp. 7285-7292, 2020.</w:t>
      </w:r>
    </w:p>
    <w:p>
      <w:pPr>
        <w:spacing w:after="40" w:before="0" w:line="312" w:lineRule="auto"/>
        <w:ind w:left="320" w:hanging="320"/>
        <w:jc w:val="both"/>
      </w:pPr>
      <w:r>
        <w:rPr>
          <w:rFonts w:ascii="신명조" w:hAnsi="신명조" w:eastAsia="신명조"/>
          <w:b w:val="0"/>
          <w:i w:val="0"/>
          <w:sz w:val="18"/>
          <w:w w:val="95"/>
          <w:spacing w:val="-9"/>
        </w:rPr>
        <w:t>[5] J. A. Arjona-Medina, M. Gillhofer, M. Widrich, T. Unterthiner, J. Brandstetter, and S. Hochreiter, "RUDDER: Return decomposition for delayed rewards," Advances in Neural Information Processing Systems, pp. 13544-13555, 2019.</w:t>
      </w:r>
    </w:p>
    <w:p>
      <w:pPr>
        <w:spacing w:after="40" w:before="0" w:line="312" w:lineRule="auto"/>
        <w:ind w:left="320" w:hanging="320"/>
        <w:jc w:val="both"/>
      </w:pPr>
      <w:r>
        <w:rPr>
          <w:rFonts w:ascii="신명조" w:hAnsi="신명조" w:eastAsia="신명조"/>
          <w:b w:val="0"/>
          <w:i w:val="0"/>
          <w:sz w:val="18"/>
          <w:w w:val="95"/>
          <w:spacing w:val="-9"/>
        </w:rPr>
        <w:t>[6] A. Y. Ng, D. Harada, and S. Russell, "Policy invariance under reward transformations: Theory and application to reward shaping," Proc. Int. Conf. on Machine Learning, pp. 278-287, 1999.</w:t>
      </w:r>
    </w:p>
    <w:p>
      <w:pPr>
        <w:spacing w:after="40" w:before="0" w:line="312" w:lineRule="auto"/>
        <w:ind w:left="320" w:hanging="320"/>
        <w:jc w:val="both"/>
      </w:pPr>
      <w:r>
        <w:rPr>
          <w:rFonts w:ascii="신명조" w:hAnsi="신명조" w:eastAsia="신명조"/>
          <w:b w:val="0"/>
          <w:i w:val="0"/>
          <w:sz w:val="18"/>
          <w:w w:val="95"/>
          <w:spacing w:val="-9"/>
        </w:rPr>
        <w:t>[7] E. Wiewiora, "Potential-based shaping and Q-value initialization are equivalent," Journal of Artificial Intelligence Research, Vol. 19, pp. 205-208, 2003.</w:t>
      </w:r>
    </w:p>
    <w:p>
      <w:pPr>
        <w:spacing w:after="40" w:before="0" w:line="312" w:lineRule="auto"/>
        <w:ind w:left="320" w:hanging="320"/>
        <w:jc w:val="both"/>
      </w:pPr>
      <w:r>
        <w:rPr>
          <w:rFonts w:ascii="신명조" w:hAnsi="신명조" w:eastAsia="신명조"/>
          <w:b w:val="0"/>
          <w:i w:val="0"/>
          <w:sz w:val="18"/>
          <w:w w:val="95"/>
          <w:spacing w:val="-9"/>
        </w:rPr>
        <w:t>[8] S. Koenig and R. G. Simmons, "The effect of representation and knowledge on goal-directed exploration with reinforcement-learning algorithms," Machine Learning, Vol. 22, pp. 227-250, 1996.</w:t>
      </w:r>
    </w:p>
    <w:p>
      <w:pPr>
        <w:spacing w:after="40" w:before="0" w:line="312" w:lineRule="auto"/>
        <w:ind w:left="320" w:hanging="320"/>
        <w:jc w:val="both"/>
      </w:pPr>
      <w:r>
        <w:rPr>
          <w:rFonts w:ascii="신명조" w:hAnsi="신명조" w:eastAsia="신명조"/>
          <w:b w:val="0"/>
          <w:i w:val="0"/>
          <w:sz w:val="18"/>
          <w:w w:val="95"/>
          <w:spacing w:val="-9"/>
        </w:rPr>
        <w:t>[9] T. Rashid, B. Peng, W. Boehmer, and S. Whiteson, "Optimistic exploration even with a pessimistic initialisation," Proc. Int. Conf. on Learning Representations, 2020.</w:t>
      </w:r>
    </w:p>
    <w:p>
      <w:pPr>
        <w:spacing w:after="40" w:before="0" w:line="312" w:lineRule="auto"/>
        <w:ind w:left="320" w:hanging="320"/>
        <w:jc w:val="both"/>
      </w:pPr>
      <w:r>
        <w:rPr>
          <w:rFonts w:ascii="신명조" w:hAnsi="신명조" w:eastAsia="신명조"/>
          <w:b w:val="0"/>
          <w:i w:val="0"/>
          <w:sz w:val="18"/>
          <w:w w:val="95"/>
          <w:spacing w:val="-9"/>
        </w:rPr>
        <w:t>[10] P. Henderson, R. Islam, P. Bachman, J. Pineau, D. Precup, and D. Meger, "Deep reinforcement learning that matters," Proc. AAAI Conf. on Artificial Intelligence, pp. 3207-3214, 2018.</w:t>
      </w:r>
    </w:p>
    <w:p>
      <w:pPr>
        <w:spacing w:after="40" w:before="0" w:line="312" w:lineRule="auto"/>
        <w:ind w:left="320" w:hanging="320"/>
        <w:jc w:val="both"/>
      </w:pPr>
      <w:r>
        <w:rPr>
          <w:rFonts w:ascii="신명조" w:hAnsi="신명조" w:eastAsia="신명조"/>
          <w:b w:val="0"/>
          <w:i w:val="0"/>
          <w:sz w:val="18"/>
          <w:w w:val="95"/>
          <w:spacing w:val="-9"/>
        </w:rPr>
        <w:t>[11] C. Colas, O. Sigaud, and P.-Y. Oudeyer, "How many random seeds? Statistical power analysis in deep reinforcement learning experiments," arXiv:1806.08295, 2018.</w:t>
      </w:r>
    </w:p>
    <w:p>
      <w:pPr>
        <w:spacing w:after="40" w:before="0" w:line="312" w:lineRule="auto"/>
        <w:ind w:left="320" w:hanging="320"/>
        <w:jc w:val="both"/>
      </w:pPr>
      <w:r>
        <w:rPr>
          <w:rFonts w:ascii="신명조" w:hAnsi="신명조" w:eastAsia="신명조"/>
          <w:b w:val="0"/>
          <w:i w:val="0"/>
          <w:sz w:val="18"/>
          <w:w w:val="95"/>
          <w:spacing w:val="-9"/>
        </w:rPr>
        <w:t>[12] R. Agarwal, M. Schwarzer, P. S. Castro, A. C. Courville, and M. G. Bellemare, "Deep reinforcement learning at the edge of the statistical precipice," Advances in Neural Information Processing Systems, pp. 29304-29320, 2021.</w:t>
      </w:r>
    </w:p>
    <w:p>
      <w:pPr>
        <w:spacing w:after="40" w:before="0" w:line="312" w:lineRule="auto"/>
        <w:ind w:left="320" w:hanging="320"/>
        <w:jc w:val="both"/>
      </w:pPr>
      <w:r>
        <w:rPr>
          <w:rFonts w:ascii="신명조" w:hAnsi="신명조" w:eastAsia="신명조"/>
          <w:b w:val="0"/>
          <w:i w:val="0"/>
          <w:sz w:val="18"/>
          <w:w w:val="95"/>
          <w:spacing w:val="-9"/>
        </w:rPr>
        <w:t>[13] J. Kim, "PokerKit: A comprehensive Python library for fine-grained multi-variant poker game simulations," IEEE Trans. on Games, 2023.</w:t>
      </w:r>
    </w:p>
    <w:p>
      <w:pPr>
        <w:spacing w:after="40" w:before="0" w:line="312" w:lineRule="auto"/>
        <w:ind w:left="320" w:hanging="320"/>
        <w:jc w:val="both"/>
      </w:pPr>
      <w:r>
        <w:rPr>
          <w:rFonts w:ascii="신명조" w:hAnsi="신명조" w:eastAsia="신명조"/>
          <w:b w:val="0"/>
          <w:i w:val="0"/>
          <w:sz w:val="18"/>
          <w:w w:val="95"/>
          <w:spacing w:val="-9"/>
        </w:rPr>
        <w:t>[14] R. S. Sutton and A. G. Barto, Reinforcement Learning: An Introduction, 2nd ed., MIT Press, 2018.</w:t>
      </w:r>
    </w:p>
    <w:p>
      <w:pPr>
        <w:spacing w:after="120" w:before="0" w:line="312" w:lineRule="auto"/>
        <w:jc w:val="center"/>
      </w:pPr>
      <w:r>
        <w:rPr>
          <w:rFonts w:ascii="신명조" w:hAnsi="신명조" w:eastAsia="신명조"/>
          <w:b/>
          <w:i w:val="0"/>
          <w:sz w:val="24"/>
          <w:w w:val="95"/>
          <w:spacing w:val="-12"/>
        </w:rPr>
        <w:t>저자소개</w:t>
      </w:r>
    </w:p>
    <w:p>
      <w:pPr>
        <w:spacing w:after="40" w:before="0" w:line="384" w:lineRule="auto"/>
        <w:jc w:val="both"/>
      </w:pPr>
      <w:r>
        <w:rPr>
          <w:rFonts w:ascii="신명조" w:hAnsi="신명조" w:eastAsia="신명조"/>
          <w:b w:val="0"/>
          <w:i w:val="0"/>
          <w:sz w:val="18"/>
          <w:w w:val="95"/>
          <w:spacing w:val="-9"/>
        </w:rPr>
        <w:t>[저자명] (Author Name)  [정회원]</w:t>
      </w:r>
    </w:p>
    <w:p>
      <w:pPr>
        <w:spacing w:after="40" w:before="0" w:line="384" w:lineRule="auto"/>
        <w:jc w:val="both"/>
      </w:pPr>
      <w:r>
        <w:rPr>
          <w:rFonts w:ascii="신명조" w:hAnsi="신명조" w:eastAsia="신명조"/>
          <w:b w:val="0"/>
          <w:i w:val="0"/>
          <w:sz w:val="18"/>
          <w:w w:val="95"/>
          <w:spacing w:val="-9"/>
        </w:rPr>
        <w:t>[학사/석사/박사 취득연월 및 학위명]</w:t>
      </w:r>
    </w:p>
    <w:p>
      <w:pPr>
        <w:spacing w:after="40" w:before="0" w:line="384" w:lineRule="auto"/>
        <w:jc w:val="both"/>
      </w:pPr>
      <w:r>
        <w:rPr>
          <w:rFonts w:ascii="신명조" w:hAnsi="신명조" w:eastAsia="신명조"/>
          <w:b w:val="0"/>
          <w:i w:val="0"/>
          <w:sz w:val="18"/>
          <w:w w:val="95"/>
          <w:spacing w:val="-9"/>
        </w:rPr>
        <w:t>[현 소속기관 및 직위]  E-mail : [e-mail]</w:t>
      </w:r>
    </w:p>
    <w:p>
      <w:pPr>
        <w:spacing w:after="40" w:before="0" w:line="384" w:lineRule="auto"/>
        <w:jc w:val="both"/>
      </w:pPr>
      <w:r>
        <w:rPr>
          <w:rFonts w:ascii="신명조" w:hAnsi="신명조" w:eastAsia="신명조"/>
          <w:b w:val="0"/>
          <w:i w:val="0"/>
          <w:sz w:val="18"/>
          <w:w w:val="95"/>
          <w:spacing w:val="-9"/>
        </w:rPr>
        <w:t>관심분야 : 강화학습, 게임 AI, 학습 동역학 분석</w:t>
      </w:r>
    </w:p>
    <w:sectPr w:rsidR="00FC693F" w:rsidRPr="0006063C" w:rsidSect="00034616">
      <w:type w:val="continuous"/>
      <w:pgSz w:w="10772" w:h="14740"/>
      <w:pgMar w:top="1134" w:right="1134" w:bottom="1134" w:left="1134" w:header="850" w:footer="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pPr>
    <w:rPr>
      <w:rFonts w:ascii="신명조" w:hAnsi="신명조" w:eastAsia="신명조"/>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