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a439f31d2af0240382f546b53d67ff364b075f"/>
    <w:p>
      <w:pPr>
        <w:pStyle w:val="Heading1"/>
      </w:pPr>
      <w:r>
        <w:t xml:space="preserve">비례배분 강화학습의 0-기여 흡수 문제 해소를 위한 임계 가상비용 기반 학습 방법 연구</w:t>
      </w:r>
    </w:p>
    <w:p>
      <w:pPr>
        <w:pStyle w:val="FirstParagraph"/>
      </w:pPr>
      <w:r>
        <w:t xml:space="preserve">A Study on a Threshold Virtual Cost Based Learning Method for Resolving the Zero-Credit Absorption Problem in Reinforcement Learning with Proportional Credit Assignment</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remains pinned at exactly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−117 mbb/g, 2 of 6 positive, a transition zone), whereas a constant cost of five chips or more exceeds the threshold: the passive policy dissolves (65% small bets on the turn), and performance against the unseen opponent that exploited the pathology (a random policy) turns from negative on every training seed to positive on every training seed (mean +1230 mbb/g at five chips).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학습을 반복해도 가치 추정이 되돌아가는 값(고정점)이 참값과 무관하게 0이 되는 구조적 문제, 곧 0-기여 흡수(Zero-Credit Absorption, ZCA)를 남긴다. 본 연구는 이를 세 단계로 다룬다. 이론 단계에서는 최소 toy MDP에서 0-고정점과 그로 인한 양방향 순위 왜곡(참값이 음수인 체크의 과대평가인 흡수, 참값이 양수인 체크의 과소평가인 은폐)을 증명하고, 이 문제가 특정 배분 설계가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단계에서는 2,048-셀 헤즈업 홀덤 에이전트에서 Q(CHECK)가 모든 셀에서 정확히 0에 고정됨을 관측하고(표준 MC는 −73에서 +120칩까지 분포), 그 정책적 결과가 턴(제3 베팅 라운드) 결정의 65%를 체크하는 과도하게 소극적인 정책임을 행동 수준에서 보인다. 해소 실증 단계에서는 가상비용의 크기를 단일변수로 바꿔 가며 임계를 확인한다. 1칩은 회복을 재현하지 못하고 학습 seed에 따라 부호가 요동하지만(6개 seed 평균 −117 mbb/g, 양수 2/6), 임계를 넘는 상수 5칩 이상이면 소극적 정책이 풀리고(턴 소액 베팅 65%로 전환), 이 문제를 착취하던 미학습 상대(무작위 정책)에게 전 seed 음수였던 성능이 전 seed 양수로 돌아선다(상수 5칩에서 평균 +1230 mbb/g). 끝으로 이 효과가 일반화가 아님을 정직하게 보고한다. 사전 고정한 비용으로 4종 홀드아웃 상대에 대해 검증한 결과 이득은 상대 의존적이며(콜링스테이션 상대는 소폭 손해), 효과는 단일 상대 학습 구성에 한정된다.</w:t>
      </w:r>
    </w:p>
    <w:p>
      <w:pPr>
        <w:pStyle w:val="BodyText"/>
      </w:pPr>
      <w:r>
        <w:t xml:space="preserve">▸주제어: 강화학습, Monte-Carlo 제어, 기여도 배분, 보상 형성, 0-기여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실시간 광고 입찰[24], 에너지 스케줄링처럼 실물 자원을 다루는 영역에서 활용되고 있다. 이런 환경에는 성과가 마지막에 한 번 실현되는 경우가 있고, 그때 학습 신호는 그 성과를 한 에피소드 안의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최소한의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진단과 그 문제를 해소하는 최소 수정의 임계 조건 규명이다.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에피소드마다 변해 고정 가상비용의 희석(3.2절)까지 시험된다. 넷째, 문제의 발현인 소극적 정책을 착취하는 상대를 두어 그 크기를 측정할 수 있다.</w:t>
      </w:r>
    </w:p>
    <w:p>
      <w:pPr>
        <w:pStyle w:val="BodyText"/>
      </w:pPr>
      <w:r>
        <w:t xml:space="preserve">지연 보상(delayed reward)을 한 에피소드 안의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첫째(진단), 위 현상을 0-기여 흡수(ZCA)로 명명해 toy MDP에서 양방향 순위 왜곡으로 증명하고, 이것이 특정 배분 설계의 결함이 아니라 기여도-비례 배분 계열 전체의 구조적 성질(기여도 함수가 비용 0 행동에 0을 주는 모든 방식, Lemma 3)임을 보이며(3.1절), 실제 2,048-셀 에이전트에서 Q(CHECK)의 정확한 0-고정점과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요동하며(전이구간),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예산의 표준 MC와 3자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사전 고정 비용의 홀드아웃 검증으로 보이고(콜링스테이션 상대는 소폭 손해), 평가 과정에서 발견하고 정정한 구현 인공물(credit 폴백 누수)과 단일 seed의 위험을 방법론적 부정적 결과로 보고한다(4.8절).</w:t>
      </w:r>
    </w:p>
    <w:p>
      <w:pPr>
        <w:pStyle w:val="BodyText"/>
      </w:pPr>
      <w:r>
        <w:t xml:space="preserve">본 논문의 구성은 다음과 같다. II장에서는 관련 연구를 문제 진단 연구의 계보, 기여도 배분 해법, 인접 수정 기법의 세 갈래로 정리한다. III장에서는 toy MDP로 0-기여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related-works"/>
    <w:p>
      <w:pPr>
        <w:pStyle w:val="Heading2"/>
      </w:pPr>
      <w:r>
        <w:t xml:space="preserve">II. Related Works</w:t>
      </w:r>
    </w:p>
    <w:bookmarkStart w:id="12" w:name="학습-알고리즘의-문제-진단-연구"/>
    <w:p>
      <w:pPr>
        <w:pStyle w:val="Heading3"/>
      </w:pPr>
      <w:r>
        <w:t xml:space="preserve">2.1 학습 알고리즘의 문제 진단 연구</w:t>
      </w:r>
    </w:p>
    <w:p>
      <w:pPr>
        <w:pStyle w:val="FirstParagraph"/>
      </w:pPr>
      <w:r>
        <w:t xml:space="preserve">기존 알고리즘의 문제를 명명하고 진단하는 연구는 강화학습에서 확립된 계보를 갖는다. Q-learning의 과대추정 편향 진단[15]은 Double Q-learning[16]이라는 해법으로 이어졌고, 최근에도 primacy bias[17]와 dormant neuron[18]처럼 문제 명명, 진단, 최소 해법으로 이어지는 형식이 반복된다. 본 연구는 같은 형식을 기여도 배분의 0-고정점에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지연 보상을 어느 시점의 행동에 귀속시키는가 하는 시간축(재분배와 조사 연구[5][19])과, 공동 보상을 어느 에이전트에 귀속시키는가 하는 에이전트축(반사실적 기준선[2]과 가치 분해 계열)이다. 국내 문헌에서도 이 문제는 다중 에이전트 맥락의 ’신뢰할당’으로 소개되고[20] 가치 분해 계열 해법의 적용 연구가 이어지고 있으나[21][26], 배분식 자체가 특정 행동 부류에 남기는 문제를 다루는 원저는 저자들이 조사한 범위에서 확인되지 않는다. 본 연구는 여러 방법 중 기여도-비례 계열의 배분식 자체가 발생시키는 문제(failure mode)를 다루며, 최신 조사 연구[19]의 분류에는 본 문제(비용 0 행동의 0-고정점)가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존재하나, 본 연구는 그 부호를 뒤집어 같은 구조를 결함으로 진단한다. 협력게임 이론의 Shapley value[3]와 Shapley Q-value[4]는 null-player 공리(한계 기여 0이면 배분 0)를 공정성의 바람직한 성질로 둔다. 본 연구의</w:t>
      </w:r>
      <w:r>
        <w:t xml:space="preserve"> </w:t>
      </w:r>
      <w:r>
        <w:t xml:space="preserve">“비용 0이면 credit 0”</w:t>
      </w:r>
      <w:r>
        <w:t xml:space="preserve">은 기여 측도를 투자액으로 둘 때의 형식적 대응물이나 진단 방향이 반대다. 같은 직관은 difference rewards[1]와 COMA[2]에도 깔려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측면에서 가상비용은 potential-based reward shaping(PBRS)이 Q-value 초기화와 등가[6][7]인 틀 안에 위치한다. 소극적 행동에 비용을 부과하는 임계 분석으로는 Lazy-MDP[22]가 있고(기본 정책 위임의 양측 임계 정리), 최근에는 삼진 채점의 기권-0 행동이 정책 기울기 학습을 붕괴시키는 법칙과 그 구조적 회피(훈련에서 기권을 제거하고 배포 시 임계 규칙 적용)가 보고되었다[23]. 본 연구의 구별점은 다루는 0의 발생 지점이다. 설계된 보상 0이 아니라 비례배분 credit 산술이 파생시키는 0을 대상으로, 배분 방식을 보존한 채 학습 중 재가격의 임계를 편향된 MC 추정기의 학습 고정점에서 유도하고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seed의 오도 위험은 재현성 문헌[10][11][12]이 확립했으며, 본 연구는 모든 성능 주장을 6개 학습 seed에서 검증하고 단일 seed가 실제로 오도했던 사례를 4.8절에서 보고한다.</w:t>
      </w:r>
    </w:p>
    <w:bookmarkEnd w:id="14"/>
    <w:bookmarkEnd w:id="15"/>
    <w:bookmarkStart w:id="19" w:name="Xdb9ce6c240e0bc9b6d3c8e8e2ab3fe1f67cbab5"/>
    <w:p>
      <w:pPr>
        <w:pStyle w:val="Heading2"/>
      </w:pPr>
      <w:r>
        <w:t xml:space="preserve">III. The Proposed Method: Threshold Virtual Cost</w:t>
      </w:r>
    </w:p>
    <w:bookmarkStart w:id="16" w:name="기여-흡수의-형식적-특성화"/>
    <w:p>
      <w:pPr>
        <w:pStyle w:val="Heading3"/>
      </w:pPr>
      <w:r>
        <w:t xml:space="preserve">3.1 0-기여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궤적(trajectory)은 투자액 c(양수)인 후속 행동을 포함하고 말단 보상(terminal payoff) P로 끝나며, 할인율(discount factor) γ는 1로 둔다.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(0-고정점).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0-고정점을 갖는다. 즉 ZCA는 비용 0 행동의 기여도가 0인 것과 동치다. 투자액을 기여도로 쓰는 경우뿐 아니라 칩과 무관한 공격성 지표(베팅 여부의 1 또는 0)에서도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 설계의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모드 공통으로,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모드에서 동형이고 수치 검증이 일치한다). 임계 미달이면 Q_vic(CHECK)이 0 근방에 머물러 순위 왜곡이 잔존한다. 이 예측이 IV장에서</w:t>
      </w:r>
      <w:r>
        <w:t xml:space="preserve"> </w:t>
      </w:r>
      <w:r>
        <w:t xml:space="preserve">“1칩은 회복 재현 실패(부호 요동), 5칩 이상 전 seed 유효”</w:t>
      </w:r>
      <w:r>
        <w:t xml:space="preserve">로 확인된다. 팟 규모 c가 에피소드마다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무정보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6개(1부터 5까지, 그리고 42)에서 검증한다. 구현은 Python 3.13과 포커 게임 엔진 pokerkit[13]을 사용했고, Windows 11 데스크톱(CPU [모델명], RAM [용량])의 단일 CPU 코어에서 학습 1회(에피소드 200만)에 약 10분이 소요된다. 모든 학습은 4.8절에서 보고하는 credit 폴백 인공물을 제거한 코드로 수행했으며, 조건별 원자료(CSV)와 학습·평가 seed는 저장소에 보존하였다.</w:t>
      </w:r>
    </w:p>
    <w:bookmarkEnd w:id="18"/>
    <w:bookmarkEnd w:id="19"/>
    <w:bookmarkStart w:id="29" w:name="iv.-experimental-results"/>
    <w:p>
      <w:pPr>
        <w:pStyle w:val="Heading2"/>
      </w:pPr>
      <w:r>
        <w:t xml:space="preserve">IV. Experimental Results</w:t>
      </w:r>
    </w:p>
    <w:bookmarkStart w:id="20" w:name="고정점의-실측"/>
    <w:p>
      <w:pPr>
        <w:pStyle w:val="Heading3"/>
      </w:pPr>
      <w:r>
        <w:t xml:space="preserve">4.1 0-고정점의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불변식(비례배분에 가상비용이 없으면 Q(CHECK)는 정확히 0)은 자동 테스트로 저장소에 고정하였다.</w:t>
      </w:r>
    </w:p>
    <w:bookmarkEnd w:id="20"/>
    <w:bookmarkStart w:id="21" w:name="고정점의-정책적-결과-소극적-정책"/>
    <w:p>
      <w:pPr>
        <w:pStyle w:val="Heading3"/>
      </w:pPr>
      <w:r>
        <w:t xml:space="preserve">4.2 0-고정점의 정책적 결과: 소극적 정책</w:t>
      </w:r>
    </w:p>
    <w:p>
      <w:pPr>
        <w:pStyle w:val="FirstParagraph"/>
      </w:pPr>
      <w:r>
        <w:t xml:space="preserve">0-고정점의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6개 학습 seed 전부에서 음수다(−318±123 mbb/g, 양수 0/6).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후속 확장 탐색(팟-비례 800%와 상수 240칩까지)에서도 평균 성능 저하는 검출되지 않았으며(seed 5개, 검정력 한계), 60칩 조건의 평균 하락(+1659에서 +806으로)은 독립 재현 145회에서 재현되지 않아 seed 요동 범위로 판단한다.</w:t>
      </w:r>
    </w:p>
    <w:p>
      <w:pPr>
        <w:pStyle w:val="BodyText"/>
      </w:pPr>
      <w:r>
        <w:t xml:space="preserve">표 2. 가상비용 크기별 무작위 상대 성능(단위 mbb/g, 학습 seed 5개에서 6개,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−117±252 (2/6)</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b/>
                <w:bCs/>
                <w:sz w:val="19"/>
              </w:rPr>
              <w:t xml:space="preserve">Constant 5 chips</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30% of pot</w:t>
            </w:r>
          </w:p>
        </w:tc>
        <w:tc>
          <w:tcPr/>
          <w:p>
            <w:pPr>
              <w:pStyle w:val="Compact"/>
              <w:spacing w:line="276" w:lineRule="auto"/>
            </w:pPr>
            <w:r>
              <w:rPr>
                <w:rFonts w:ascii="Times New Roman" w:hAnsi="Times New Roman" w:eastAsia="바탕"/>
                <w:sz w:val="19"/>
              </w:rPr>
              <w:t xml:space="preserve">+1546±535 (6/6)</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seed(42) 측정은 −376으로</w:t>
      </w:r>
      <w:r>
        <w:t xml:space="preserve"> </w:t>
      </w:r>
      <w:r>
        <w:t xml:space="preserve">“무효”</w:t>
      </w:r>
      <w:r>
        <w:t xml:space="preserve">를 시사했으나, 6개 seed로 확장하자 부호 요동(양수 2/6)이 드러났다. 단일 seed의 오도 위험(4.8절)의 추가 사례이며, 셀마다 임계가 달라 생기는 전이구간이라는 해석(3.2절)과 정합한다. 둘째, 후속 진단(표준 추상화 플랫폼의 비율 축)은 흡수가 전부 해소된 뒤에도 성능이 회복되지 않는 별도 경로(또 다른 비용 0 행동인 FOLD의 0-고정점)를 확인했으므로, 전이구간 해석에는</w:t>
      </w:r>
      <w:r>
        <w:t xml:space="preserve"> </w:t>
      </w:r>
      <w:r>
        <w:t xml:space="preserve">“흡수 해소 임계”</w:t>
      </w:r>
      <w:r>
        <w:t xml:space="preserve">와</w:t>
      </w:r>
      <w:r>
        <w:t xml:space="preserve"> </w:t>
      </w:r>
      <w:r>
        <w:t xml:space="preserve">“성능 회복 문턱”</w:t>
      </w:r>
      <w:r>
        <w:t xml:space="preserve">의 분리 가능성에 유의해야 한다(4.5절). 본 표의 셀별 임계 해석은 그 한도 내의 추정이다. 아울러 상수 20칩과 60칩의 5/5는 기존 구현 계열 기준이고, 독립 재현 계열(재작성 코드, seed 5개)에서는 각각 4/5(각 1개 seed 음수)였다.</w:t>
      </w:r>
    </w:p>
    <w:p>
      <w:pPr>
        <w:pStyle w:val="BodyText"/>
      </w:pPr>
      <w:r>
        <w:t xml:space="preserve">핵심 대비는 Welch t 검정에서 모두 유의하다. 가상비용 없음 대 상수 5칩은 t 값 7.36, 가상비용 없음 대 체크 시점 팟 30% 조건은 t 값 7.18, 일률 벌점 대 선택적 5칩은 t 값 7.97로, 모두 p &lt; .001이다. 검정은 독립 재현 계열(seed 5개, 재현 가능한 CSV 기준)에서 수행한 것으로, 본문 수치(기존 구현 계열, seed 5개에서 6개)와 계열이 다름을 명시한다.</w:t>
      </w:r>
    </w:p>
    <w:p>
      <w:pPr>
        <w:pStyle w:val="BodyText"/>
      </w:pPr>
      <w:r>
        <w:t xml:space="preserve">행동 수준에서 임계를 초과하는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예산-비교"/>
    <w:p>
      <w:pPr>
        <w:pStyle w:val="Heading3"/>
      </w:pPr>
      <w:r>
        <w:t xml:space="preserve">4.4 표준 MC와의 동일 예산 비교</w:t>
      </w:r>
    </w:p>
    <w:p>
      <w:pPr>
        <w:pStyle w:val="FirstParagraph"/>
      </w:pPr>
      <w:r>
        <w:t xml:space="preserve">“비례배분이 문제를 만드니 처음부터 표준 MC를 쓰면 된다”</w:t>
      </w:r>
      <w:r>
        <w:t xml:space="preserve">는 자연스러운 반박을 동일 조건 3자 비교로 검증하였다(TAG 단일 상대, 에피소드 200만, seed 5개). 표준 MC(PURE)는 vs TAG +115±25, vs 무작위 −312±91(양수 0/5)로 양 지표 모두 열세다. 비례배분에 임계 비용을 더한 조건(+909 / +1230에서 +1546)에 비해 크게 낮다. 학습 곡선은 그 원인이 학습 속도가 아니라 안정성임을 보여준다. 표준 MC는 학습 중반까지 비례배분과 대등한 성능(vs TAG 약 +900)을 보이다가 탐색 온도가 낮아지는 후반(약 140만 에피소드)에 붕괴한다(고분산 MC의 알려진 불안정). 비례배분 계열은 가상비용 유무와 무관하게 붕괴하지 않는다. 즉 비례배분은 저분산으로 후반 안정성을 얻는 대신 ZCA를 남기며, 임계 가상비용이 그 문제만 해소한다. 세 방식 중</w:t>
      </w:r>
      <w:r>
        <w:t xml:space="preserve"> </w:t>
      </w:r>
      <w:r>
        <w:t xml:space="preserve">“문제 없이 강하게 배우는”</w:t>
      </w:r>
      <w:r>
        <w:t xml:space="preserve"> </w:t>
      </w:r>
      <w:r>
        <w:t xml:space="preserve">조합은 비례배분에 임계 비용을 더한 것뿐이다.</w:t>
      </w:r>
    </w:p>
    <w:bookmarkEnd w:id="23"/>
    <w:bookmarkStart w:id="24" w:name="임계의-두-층-흡수-해소와-성능-회복"/>
    <w:p>
      <w:pPr>
        <w:pStyle w:val="Heading3"/>
      </w:pPr>
      <w:r>
        <w:t xml:space="preserve">4.5 임계의 두 층: 흡수 해소와 성능 회복</w:t>
      </w:r>
    </w:p>
    <w:p>
      <w:pPr>
        <w:pStyle w:val="FirstParagraph"/>
      </w:pPr>
      <w:r>
        <w:t xml:space="preserve">본 연구의 임계 조건이 직접 지배하는 것은 흡수의 해소, 곧 greedy가 가짜 0에 고정된 행동 대신 최적 행동을 선택하게 되는 것이다. 후속 진단(표준 추상화 플랫폼)에서 흡수가 전부 해소된 뒤에도 성능이 회복되지 않는 사례가 확인되었는데, 그 원인은 동일 배분식 안의 또 다른 비용 0 행동(FOLD)의 0-고정점이었다.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문턱과의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 시점에 팟의 30%를 부여) 학습에 쓰지 않은 4종 상대로 검증하였다(문제를 착취하던 무작위 상대는 참조로 표 3에 함께 제시한다). 표 3은 홀드아웃 상대별로 가상비용 부여 전후의 성능 변화량을 정리한 것으로, 이득은 상대 의존적이다.</w:t>
      </w:r>
    </w:p>
    <w:p>
      <w:pPr>
        <w:pStyle w:val="BodyText"/>
      </w:pPr>
      <w:r>
        <w:t xml:space="preserve">표 3. 홀드아웃 상대별 성능 변화량(Δ는 가상비용 없는 조건 대비, 단위 mbb/g, 학습 seed 5개에서 6개 평균) (Table 3.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+1864</w:t>
            </w:r>
          </w:p>
        </w:tc>
        <w:tc>
          <w:tcPr/>
          <w:p>
            <w:pPr>
              <w:pStyle w:val="Compact"/>
              <w:spacing w:line="276" w:lineRule="auto"/>
            </w:pPr>
            <w:r>
              <w:rPr>
                <w:rFonts w:ascii="Times New Roman" w:hAnsi="Times New Roman" w:eastAsia="바탕"/>
                <w:sz w:val="19"/>
              </w:rPr>
              <w:t xml:space="preserve">6/6</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 상대의 절대 성능은 가상비용 유무와 무관하게 모든 조건에서 큰 폭의 적자이며(독립 재현 계열의 원값으로 −2600에서 −3200 mbb/g, 용량 무관),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“0-고정점이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3.2절의 이론적 기각(무정보 수정은 고정점의 순위를 바꾸지 못함)을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4는 세 대안과 선택적 가상비용의 결과를 정리한 것이다.</w:t>
      </w:r>
    </w:p>
    <w:p>
      <w:pPr>
        <w:pStyle w:val="BodyText"/>
      </w:pPr>
      <w:r>
        <w:t xml:space="preserve">표 4. 세 대안과의 통제 비교(단위 mbb/g, 학습 seed 5개에서 6개) (Table 4.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−318±123</w:t>
            </w:r>
          </w:p>
        </w:tc>
        <w:tc>
          <w:tcPr/>
          <w:p>
            <w:pPr>
              <w:pStyle w:val="Compact"/>
              <w:spacing w:line="276" w:lineRule="auto"/>
            </w:pPr>
            <w:r>
              <w:rPr>
                <w:rFonts w:ascii="Times New Roman" w:hAnsi="Times New Roman" w:eastAsia="바탕"/>
                <w:sz w:val="19"/>
              </w:rPr>
              <w:t xml:space="preserve">0/6</w:t>
            </w:r>
          </w:p>
        </w:tc>
        <w:tc>
          <w:tcPr/>
          <w:p>
            <w:pPr>
              <w:pStyle w:val="Compact"/>
              <w:spacing w:line="276" w:lineRule="auto"/>
            </w:pPr>
            <w:r>
              <w:rPr>
                <w:rFonts w:ascii="Times New Roman" w:hAnsi="Times New Roman" w:eastAsia="바탕"/>
                <w:sz w:val="19"/>
              </w:rPr>
              <w:t xml:space="preserve">+866</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b/>
                <w:bCs/>
                <w:sz w:val="19"/>
              </w:rPr>
              <w:t xml:space="preserve">Selective virtual cost (CHECK only, 5 chips)</w:t>
            </w:r>
          </w:p>
        </w:tc>
        <w:tc>
          <w:tcPr/>
          <w:p>
            <w:pPr>
              <w:pStyle w:val="Compact"/>
              <w:spacing w:line="276" w:lineRule="auto"/>
            </w:pPr>
            <w:r>
              <w:rPr>
                <w:rFonts w:ascii="Times New Roman" w:hAnsi="Times New Roman" w:eastAsia="바탕"/>
                <w:b/>
                <w:bCs/>
                <w:sz w:val="19"/>
              </w:rPr>
              <w:t xml:space="preserve">+1230±693</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+909±50 (preserved)</w:t>
            </w:r>
          </w:p>
        </w:tc>
      </w:tr>
    </w:tbl>
    <w:p>
      <w:pPr>
        <w:pStyle w:val="BodyText"/>
      </w:pPr>
      <w:r>
        <w:t xml:space="preserve">표 4의 선택적 가상비용에 5칩을 쓴 것은 두 기준에 따른다. 일률 벌점과 크기를 일치시켜 선택성만을 분리하는 값이면서, 임계를 넘는 최소 유효 용량이라는 보수적 대푯값이다. 더 높은 수치의 조건(체크 시점에 팟의 30%를 부여하는 조건은 +1546±535에 6/6, 상수 20칩은 +1659±825에 5/5)으로 바꿔도 결론은 불변하며,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 예산이 소모된다(Proposition 1의 일시성이 유한 예산에서는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유한 예산 학습을 양 지표 모두에서 훼손했다. 이 예측 편차 자체를 부정적 결과로 함께 보고한다. 다섯 조건 중 양 지표를 지키며 문제를 해소한 것은 선택적 임계 가상비용뿐이며, 특히 셋째 대안과의 대비는 이 해법의 본질이 비용 부여 일반이 아니라 비용 0 행동에 대한 선택성임을 분리 실증한다.</w:t>
      </w:r>
    </w:p>
    <w:bookmarkEnd w:id="26"/>
    <w:bookmarkStart w:id="27" w:name="방법론적-부정적-결과-credit-폴백-인공물의-발견과-정정"/>
    <w:p>
      <w:pPr>
        <w:pStyle w:val="Heading3"/>
      </w:pPr>
      <w:r>
        <w:t xml:space="preserve">4.8 방법론적 부정적 결과: credit 폴백 인공물의 발견과 정정</w:t>
      </w:r>
    </w:p>
    <w:p>
      <w:pPr>
        <w:pStyle w:val="FirstParagraph"/>
      </w:pPr>
      <w:r>
        <w:t xml:space="preserve">초기 구현은 총투자 0인 핸드(전부 체크 또는 폴드)에서 비례배분이 미정의라 균등 배분(payoff/n)으로 폴백했고, 이 누수가 비용 0 행동에 </w:t>
      </w:r>
      <w:r>
        <w:rPr>
          <w:rFonts w:hint="eastAsia"/>
        </w:rPr>
        <w:t xml:space="preserve">비(非)비례</w:t>
      </w:r>
      <w:r>
        <w:t xml:space="preserve"> credit을 흘렸다. 단일 학습 seed(42)와 결합해</w:t>
      </w:r>
      <w:r>
        <w:t xml:space="preserve"> </w:t>
      </w:r>
      <w:r>
        <w:t xml:space="preserve">“1칩 가상비용이 분포 외 일반화의 필요조건”</w:t>
      </w:r>
      <w:r>
        <w:t xml:space="preserve">이라는 허위 신호를 만들었으며, 폴백만 격리해 실행하면 원본 수치가 그대로 재현되고 제거한 뒤 다시 실행하면 효과가 사라짐을 확인하여, 인공물로 확정하고 폐기하였다. 단일 seed의 오도 위험을 경고한 재현성 문헌[10][11][12]과 정합하는 사례다. 본 논문의 모든 수치는 폴백 제거 후의 것이며, 나아가 가상비용을 실투자 핸드에만 적용하는 격리 실험으로 4.3절과 4.6절의 회복이 폴백 유사 신호가 아니라 CHECK credit 경로임을 확인했다(실투자 핸드에만 적용해도 +1245에 양수 5/5로 전체 적용의 +1546과 비슷했고, 폴백 신호에만 한정하면 +206에 분산이 컸다). 아울러 결론을 지탱하는 핵심 실험들은 독립 재작성 코드로 145회 재현되어 주요 조건별 기준 수치가 전부 유지되었다(상수 20칩과 60칩은 5/5에서 독립 재현 계열 4/5로의 경계 편차, seed 요동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요동이 크며(1칩은 6개 seed 평균 −117에 양수 2/6), 본 연구는</w:t>
      </w:r>
      <w:r>
        <w:t xml:space="preserve"> </w:t>
      </w:r>
      <w:r>
        <w:t xml:space="preserve">“충분 초과 시 전 seed 유효”</w:t>
      </w:r>
      <w:r>
        <w:t xml:space="preserve">라는 임계의 존재만 주장한다. 아울러 이 임계는 흡수 해소의 임계이며, 성능 회복 문턱과는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음수였으나(표 기반 표현력의 이론적 한계로 균형 상대 기댓값의 상한이 0 근방), 무작위 상대 홀드아웃에서의 선택적 회복은 재현되었다(부정적 결과 포함). 넷째, ZCA의 구성 요소(null-player 공리, return-equivalence, 낙관적 초기화, PBRS와 Q-초기화의 등가성)는 이미 알려진 것이며, 기여는 이들을 구조적 문제로 재진단하고 임계를 유도·실증하며 범위를 정직히 규정한 데 있다.</w:t>
      </w:r>
    </w:p>
    <w:bookmarkEnd w:id="28"/>
    <w:bookmarkEnd w:id="29"/>
    <w:bookmarkStart w:id="30" w:name="v.-conclusions-and-discussion"/>
    <w:p>
      <w:pPr>
        <w:pStyle w:val="Heading2"/>
      </w:pPr>
      <w:r>
        <w:t xml:space="preserve">V. Conclusions and Discussion</w:t>
      </w:r>
    </w:p>
    <w:p>
      <w:pPr>
        <w:pStyle w:val="FirstParagraph"/>
      </w:pPr>
      <w:r>
        <w:t xml:space="preserve">비례배분 기여도는 비용 0 행동에 구조적 0-고정점(ZCA)을 남기고, 이는 행동 순위를 양방향으로 왜곡하며(흡수와 은폐), 낙관적 초기화의 일시적 0-선호와 달리 방문으로 해소되지 않는다. 이상을 toy MDP에서 증명하고, 실제 2,048-셀 에이전트에서 Q(CHECK)의 정확한 0 고정과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요동하는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사전에 고정한 홀드아웃 검증으로 배제하였고,</w:t>
      </w:r>
      <w:r>
        <w:t xml:space="preserve"> </w:t>
      </w:r>
      <w:r>
        <w:t xml:space="preserve">“표준 MC를 쓰면 된다”</w:t>
      </w:r>
      <w:r>
        <w:t xml:space="preserve">는 대안은 동일 예산의 3자 비교에서 두 지표 모두 열세임을 보여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2026-08-24T07:05:26Z</dcterms:created>
  <dcterms:modified xsi:type="dcterms:W3CDTF">2026-08-24T07:05:26Z</dcterms:modified>
</cp:coreProperties>
</file>

<file path=docProps/custom.xml><?xml version="1.0" encoding="utf-8"?>
<Properties xmlns="http://schemas.openxmlformats.org/officeDocument/2006/custom-properties" xmlns:vt="http://schemas.openxmlformats.org/officeDocument/2006/docPropsVTypes"/>
</file>