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12" w:lineRule="auto"/>
        <w:jc w:val="center"/>
      </w:pPr>
      <w:r>
        <w:rPr>
          <w:rFonts w:ascii="신명조" w:hAnsi="신명조" w:eastAsia="신명조"/>
          <w:b/>
          <w:i w:val="0"/>
          <w:sz w:val="30"/>
          <w:w w:val="95"/>
          <w:spacing w:val="-15"/>
        </w:rPr>
        <w:t>비례배분 기여도의 영-기여 흡수(zero-credit absorption)와</w:t>
      </w:r>
    </w:p>
    <w:p>
      <w:pPr>
        <w:spacing w:after="0" w:before="0" w:line="312" w:lineRule="auto"/>
        <w:jc w:val="center"/>
      </w:pPr>
      <w:r>
        <w:rPr>
          <w:rFonts w:ascii="신명조" w:hAnsi="신명조" w:eastAsia="신명조"/>
          <w:b/>
          <w:i w:val="0"/>
          <w:sz w:val="30"/>
          <w:w w:val="95"/>
          <w:spacing w:val="-15"/>
        </w:rPr>
        <w:t>임계 가상비용에 의한 수동화 해소</w:t>
      </w:r>
    </w:p>
    <w:p>
      <w:pPr>
        <w:spacing w:after="160" w:before="0" w:line="312" w:lineRule="auto"/>
        <w:jc w:val="center"/>
      </w:pPr>
      <w:r>
        <w:rPr>
          <w:rFonts w:ascii="신명조" w:hAnsi="신명조" w:eastAsia="신명조"/>
          <w:b/>
          <w:i w:val="0"/>
          <w:sz w:val="22"/>
          <w:w w:val="95"/>
          <w:spacing w:val="-11"/>
        </w:rPr>
        <w:t>— tabular Monte-Carlo 헤즈업 홀덤 학습의 사례연구 —</w:t>
      </w:r>
    </w:p>
    <w:p>
      <w:pPr>
        <w:spacing w:after="0" w:before="0" w:line="312" w:lineRule="auto"/>
        <w:jc w:val="center"/>
      </w:pPr>
      <w:r>
        <w:rPr>
          <w:rFonts w:ascii="신명조" w:hAnsi="신명조" w:eastAsia="신명조"/>
          <w:b w:val="0"/>
          <w:i w:val="0"/>
          <w:sz w:val="21"/>
          <w:w w:val="95"/>
          <w:spacing w:val="-10"/>
        </w:rPr>
        <w:t>[저자명]*</w:t>
      </w:r>
    </w:p>
    <w:p>
      <w:pPr>
        <w:spacing w:after="160" w:before="0" w:line="312" w:lineRule="auto"/>
        <w:jc w:val="center"/>
      </w:pPr>
      <w:r>
        <w:rPr>
          <w:rFonts w:ascii="신명조" w:hAnsi="신명조" w:eastAsia="신명조"/>
          <w:b w:val="0"/>
          <w:i w:val="0"/>
          <w:sz w:val="19"/>
          <w:w w:val="95"/>
          <w:spacing w:val="-10"/>
        </w:rPr>
        <w:t>[소속기관] [직위]</w:t>
      </w:r>
    </w:p>
    <w:p>
      <w:pPr>
        <w:spacing w:after="80" w:before="0" w:line="312" w:lineRule="auto"/>
        <w:jc w:val="center"/>
      </w:pPr>
      <w:r>
        <w:rPr>
          <w:rFonts w:ascii="신명조" w:hAnsi="신명조" w:eastAsia="신명조"/>
          <w:b/>
          <w:i w:val="0"/>
          <w:sz w:val="22"/>
          <w:w w:val="95"/>
          <w:spacing w:val="-11"/>
        </w:rPr>
        <w:t>국문 요약</w:t>
      </w:r>
    </w:p>
    <w:p>
      <w:pPr>
        <w:spacing w:after="80" w:before="0" w:line="384" w:lineRule="auto"/>
        <w:jc w:val="both"/>
      </w:pPr>
      <w:r>
        <w:rPr>
          <w:rFonts w:ascii="신명조" w:hAnsi="신명조" w:eastAsia="신명조"/>
          <w:b w:val="0"/>
          <w:i w:val="0"/>
          <w:sz w:val="18"/>
          <w:w w:val="95"/>
          <w:spacing w:val="-9"/>
        </w:rPr>
        <w:t>표 기반 Monte-Carlo(MC) 제어에서 각 행동의 보상을 그 행동의 투자액 비율로 배분하는 비례배분(proportional) 기여도 정형화는 분산을 줄이는 합리적 선택이나, 비용 0 행동(예: CHECK)의 credit이 매 에피소드 정확히 0이 되어 그 MC 고정점이 참값과 무관하게 0에 고정되는 구조적 병리 — 영-기여 흡수(zero-credit absorption, ZCA) — 를 남긴다. 본 연구는 이를 세 층위에서 다룬다. (이론) 최소 toy MDP에서 영-고정점과 그로 인한 양방향 오순위(참값이 음수인 체크의 과대평가 = 흡수, 참값이 양수인 체크의 과소평가 = 은폐)를 증명하고, 이 병리가 특정 배분식이 아니라 기여도-비례 배분 계열 전체(기여도 0 → credit 0)의 구조적 성질임을 보이며, 낙관적 초기화의 일시적 흡수와 질적으로 구별하고(영구·고정점≠참값), 해소에 필요한 임계 가상비용 ε_min을 유도한다. (실측) 2,048-셀 헤즈업 홀덤 봇에서 Q(CHECK)가 정확히 0으로 붕괴함을 관측하고(표준 MC는 −73~+120칩 분포), 그 정책적 결과가 수동화임을 행동 수준에서 보인다 — 턴에서 체크 65%의 소극 정책. (처방 실증) 1칩 가상비용은 회복을 재현하지 못하고 학습 seed에 따라 부호가 요동하지만(6-seed 평균 −117 mbb/g, 양수 2/6 — 전이구간), 임계를 넘는 상수 5칩 이상이면 수동화가 풀리고(턴 소액 베팅 65%로 전환) 이 병리를 착취하던 미학습 상대(무작위 정책)에 대한 성능이 학습 seed 전반에서 회복된다(−318±123 → +1546±535 mbb/g, 0/6 → 6/6 양수). 결정시점 상수 비용(fixed-K)·체크시점 팟 비례 등 인과적으로 깨끗한 변형에서 재현되어 사후정보·구현 인공물 가설은 통제실험으로 배제하였다. 끝으로 이 효과가 일반화가 아님을 정직하게 보고한다 — 사전 고정한 비용으로 4종 미학습 상대에 대해 검증한 결과 이득은 상대 의존적이며(콜링스테이션 상대는 소폭 손해), 효과는 단일 상대 학습 구성에 한정된다.</w:t>
      </w:r>
    </w:p>
    <w:p>
      <w:pPr>
        <w:spacing w:after="200" w:line="384" w:lineRule="auto"/>
      </w:pPr>
      <w:r>
        <w:rPr>
          <w:rFonts w:ascii="신명조" w:hAnsi="신명조" w:eastAsia="신명조"/>
          <w:b/>
          <w:i w:val="0"/>
          <w:sz w:val="18"/>
          <w:w w:val="95"/>
          <w:spacing w:val="-9"/>
        </w:rPr>
        <w:t xml:space="preserve">주제어 : </w:t>
      </w:r>
      <w:r>
        <w:rPr>
          <w:rFonts w:ascii="신명조" w:hAnsi="신명조" w:eastAsia="신명조"/>
          <w:b w:val="0"/>
          <w:i w:val="0"/>
          <w:sz w:val="18"/>
          <w:w w:val="95"/>
          <w:spacing w:val="-9"/>
        </w:rPr>
        <w:t>강화학습, Monte-Carlo 제어, 기여도 배분, 보상 형성, 영-기여 흡수, 고정점, 정책 수동화, tabular Q-learning, 헤즈업 노리밋 홀덤</w:t>
      </w:r>
    </w:p>
    <w:p>
      <w:pPr>
        <w:spacing w:after="0" w:before="0" w:line="312" w:lineRule="auto"/>
        <w:jc w:val="center"/>
      </w:pPr>
      <w:r>
        <w:rPr>
          <w:rFonts w:ascii="신명조" w:hAnsi="신명조" w:eastAsia="신명조"/>
          <w:b/>
          <w:i w:val="0"/>
          <w:sz w:val="23"/>
          <w:w w:val="95"/>
          <w:spacing w:val="-12"/>
        </w:rPr>
        <w:t>Zero-Credit Absorption under Proportional Credit Assignment and the Resolution of</w:t>
      </w:r>
    </w:p>
    <w:p>
      <w:pPr>
        <w:spacing w:after="160" w:before="0" w:line="312" w:lineRule="auto"/>
        <w:jc w:val="center"/>
      </w:pPr>
      <w:r>
        <w:rPr>
          <w:rFonts w:ascii="신명조" w:hAnsi="신명조" w:eastAsia="신명조"/>
          <w:b/>
          <w:i w:val="0"/>
          <w:sz w:val="23"/>
          <w:w w:val="95"/>
          <w:spacing w:val="-12"/>
        </w:rPr>
        <w:t>Policy Passivity by a Threshold Virtual Cost — A Case Study in Tabular MC Hold'em</w:t>
      </w:r>
    </w:p>
    <w:p>
      <w:pPr>
        <w:spacing w:after="0" w:before="0" w:line="312" w:lineRule="auto"/>
        <w:jc w:val="center"/>
      </w:pPr>
      <w:r>
        <w:rPr>
          <w:rFonts w:ascii="신명조" w:hAnsi="신명조" w:eastAsia="신명조"/>
          <w:b w:val="0"/>
          <w:i w:val="0"/>
          <w:sz w:val="21"/>
          <w:w w:val="95"/>
          <w:spacing w:val="-10"/>
        </w:rPr>
        <w:t>[Author Name]*</w:t>
      </w:r>
    </w:p>
    <w:p>
      <w:pPr>
        <w:spacing w:after="160" w:before="0" w:line="312" w:lineRule="auto"/>
        <w:jc w:val="center"/>
      </w:pPr>
      <w:r>
        <w:rPr>
          <w:rFonts w:ascii="신명조" w:hAnsi="신명조" w:eastAsia="신명조"/>
          <w:b w:val="0"/>
          <w:i w:val="0"/>
          <w:sz w:val="19"/>
          <w:w w:val="95"/>
          <w:spacing w:val="-10"/>
        </w:rPr>
        <w:t>[Affiliation], [Position]</w:t>
      </w:r>
    </w:p>
    <w:p>
      <w:pPr>
        <w:spacing w:after="80" w:before="0" w:line="312" w:lineRule="auto"/>
        <w:jc w:val="center"/>
      </w:pPr>
      <w:r>
        <w:rPr>
          <w:rFonts w:ascii="신명조" w:hAnsi="신명조" w:eastAsia="신명조"/>
          <w:b/>
          <w:i w:val="0"/>
          <w:sz w:val="22"/>
          <w:w w:val="95"/>
          <w:spacing w:val="-11"/>
        </w:rPr>
        <w:t>ABSTRACT</w:t>
      </w:r>
    </w:p>
    <w:p>
      <w:pPr>
        <w:spacing w:after="80" w:before="0" w:line="384" w:lineRule="auto"/>
        <w:jc w:val="both"/>
      </w:pPr>
      <w:r>
        <w:rPr>
          <w:rFonts w:ascii="신명조" w:hAnsi="신명조" w:eastAsia="신명조"/>
          <w:b w:val="0"/>
          <w:i w:val="0"/>
          <w:sz w:val="18"/>
          <w:w w:val="95"/>
          <w:spacing w:val="-9"/>
        </w:rPr>
        <w:t>In tabular Monte-Carlo (MC) control, assigning each action a share of the terminal payoff proportional to its invested chips—proportional credit assignment—is a reasonable variance-reduction choice, but it leaves a structural pathology for zero-cost actions (e.g., CHECK): their credit is exactly zero every episode, pinning the MC fixed point at zero regardless of true value — Zero-Credit Absorption (ZCA). We treat this at three levels. (Theory) In a minimal toy MDP we prove the zero fixed point and the resulting bidirectional mis-ranking (overvaluing bad checks = absorption; undervaluing good checks = masking), show that the pathology is a structural property of the whole family of contribution-proportional schemes (zero contribution → zero credit) rather than of one particular formula, distinguish it from the transient absorption of optimistic initialization (permanent; fixed point ≠ true value), and derive the threshold virtual cost ε_min required to dissolve it. (Measurement) In a 2,048-cell heads-up hold'em agent, the learned Q(CHECK) collapses exactly to zero (vs. −73 to +120 chips under standard MC), and we show behaviorally that the policy consequence is passivity — checking 65% of turn decisions. (Remedy) A one-chip cost fails to reproduce recovery, with its sign fluctuating across training seeds (mean −117 mbb/g, 2/6 positive — a transition zone), but a constant cost of five chips or more exceeds the threshold: passivity dissolves (65% small bets on the turn) and performance against the unseen opponent that exploited this pathology (a random policy) recovers across training seeds (−318±123 → +1546±535 mbb/g; 0/6 → 6/6 positive). The recovery reproduces under causally clean variants (decision-time constant cost; check-time pot fraction), ruling out hindsight-information and implementation-artifact explanations by controlled experiments. Finally, we honestly report that this is not generalization: with the cost fixed in advance, gains against four held-out opponents are opponent-dependent (a slight loss against a calling station), and the effect is confined to single-opponent training.</w:t>
      </w:r>
    </w:p>
    <w:p>
      <w:pPr>
        <w:spacing w:after="120" w:line="384" w:lineRule="auto"/>
      </w:pPr>
      <w:r>
        <w:rPr>
          <w:rFonts w:ascii="신명조" w:hAnsi="신명조" w:eastAsia="신명조"/>
          <w:b/>
          <w:i w:val="0"/>
          <w:sz w:val="18"/>
          <w:w w:val="95"/>
          <w:spacing w:val="-9"/>
        </w:rPr>
        <w:t xml:space="preserve">Keywords : </w:t>
      </w:r>
      <w:r>
        <w:rPr>
          <w:rFonts w:ascii="신명조" w:hAnsi="신명조" w:eastAsia="신명조"/>
          <w:b w:val="0"/>
          <w:i w:val="0"/>
          <w:sz w:val="18"/>
          <w:w w:val="95"/>
          <w:spacing w:val="-9"/>
        </w:rPr>
        <w:t>reinforcement learning, Monte-Carlo control, credit assignment, reward shaping, zero-credit absorption, fixed point, policy passivity, tabular Q-learning, heads-up no-limit hold'em</w:t>
      </w:r>
    </w:p>
    <w:p>
      <w:pPr>
        <w:sectPr>
          <w:pgSz w:w="10772" w:h="14740"/>
          <w:pgMar w:top="1134" w:right="1134" w:bottom="1134" w:left="1134" w:header="850" w:footer="0" w:gutter="0"/>
          <w:cols w:space="360" w:num="1"/>
          <w:docGrid w:linePitch="360"/>
        </w:sectPr>
      </w:pPr>
    </w:p>
    <w:p>
      <w:pPr>
        <w:spacing w:after="240" w:before="120" w:line="312" w:lineRule="auto"/>
        <w:jc w:val="center"/>
      </w:pPr>
      <w:r>
        <w:rPr>
          <w:rFonts w:ascii="신명조" w:hAnsi="신명조" w:eastAsia="신명조"/>
          <w:b/>
          <w:i w:val="0"/>
          <w:sz w:val="24"/>
          <w:w w:val="95"/>
          <w:spacing w:val="-12"/>
        </w:rPr>
        <w:t>1. 서론</w:t>
      </w:r>
    </w:p>
    <w:p>
      <w:pPr>
        <w:spacing w:after="120" w:before="0" w:line="384" w:lineRule="auto"/>
        <w:jc w:val="both"/>
      </w:pPr>
      <w:r>
        <w:rPr>
          <w:rFonts w:ascii="신명조" w:hAnsi="신명조" w:eastAsia="신명조"/>
          <w:b w:val="0"/>
          <w:i w:val="0"/>
          <w:sz w:val="18"/>
          <w:w w:val="95"/>
          <w:spacing w:val="-9"/>
        </w:rPr>
        <w:t>본 연구의 대상은 특정 게임이 아니라 구조적 기여도 배분이 남기는 측정 가능한 병리의 진단과, 그 병리를 해소하는 최소 개입의 임계 조건 규명이다. 표 기반 강화학습은 함수근사의 블랙박스 효과 없이 학습 동역학을 단일변수로 통제·관찰할 수 있으므로, 검증 환경으로는 헤즈업 노리밋 홀덤의 순수 tabular Monte-Carlo 학습을 선택한다. 이 선택은 네 가지 성질 때문이다: ① 비용 0 행동(CHECK)이 게임 규칙 자체에 내장되어 있어 인위적 삽입이 아니고, ② 보상이 말단에서 크고 확률적으로 실현되며, ③ 판돈 규모가 궤적마다 변해 임계 희석(4장)까지 시험되고, ④ 병리(수동화)를 착취하는 상대를 계측기로 쓸 수 있다.</w:t>
      </w:r>
    </w:p>
    <w:p>
      <w:pPr>
        <w:spacing w:after="120" w:before="0" w:line="384" w:lineRule="auto"/>
        <w:jc w:val="both"/>
      </w:pPr>
      <w:r>
        <w:rPr>
          <w:rFonts w:ascii="신명조" w:hAnsi="신명조" w:eastAsia="신명조"/>
          <w:b w:val="0"/>
          <w:i w:val="0"/>
          <w:sz w:val="18"/>
          <w:w w:val="95"/>
          <w:spacing w:val="-9"/>
        </w:rPr>
        <w:t>지연된 종단 보상을 궤적 위의 어느 행동에 얼마나 귀속시킬 것인가 — 기여도 배분(credit assignment; 국내 문헌에 따라 '신뢰할당'[20]) — 은 강화학습의 오랜 난제로, 최근 전용 조사 연구가 나올 만큼 활발히 연구되고 있다[19]. Monte-Carlo 제어에서 이 배분 방식은 학습 신호의 분산·편향을 좌우한다. 표준 Monte-Carlo는 편향이 없지만 분산이 크고, 자연스러운 대안은 각 행동이 판돈에 투입한 금액의 비율로 보상을 나누는 비례배분(proportional)이다. 그러나 비용 0 행동(투자액 0, 대표적으로 CHECK)의 비례 credit은 분자가 0이라 항상 0이고, 그 가치 추정의 고정점은 참값과 무관하게 0에 고정된다. 이 0은 행동 순위를 양방향으로 왜곡한다 — 참값이 음수인 체크는 과대평가되어 학습된 음수 행동들을 greedy에서 가리고(흡수), 참값이 양수인 체크는 과소평가되어 열등한 +EV 행동에 밀린다(은폐).</w:t>
      </w:r>
    </w:p>
    <w:p>
      <w:pPr>
        <w:spacing w:after="120" w:before="0" w:line="384" w:lineRule="auto"/>
        <w:jc w:val="both"/>
      </w:pPr>
      <w:r>
        <w:rPr>
          <w:rFonts w:ascii="신명조" w:hAnsi="신명조" w:eastAsia="신명조"/>
          <w:b w:val="0"/>
          <w:i w:val="0"/>
          <w:sz w:val="18"/>
          <w:w w:val="95"/>
          <w:spacing w:val="-9"/>
        </w:rPr>
        <w:t>본 논문의 기여는 다음과 같다. (1) 진단 — 위 현상을 영-기여 흡수(ZCA)로 명명해 toy MDP에서 양방향 오순위로 증명하고, 이것이 특정 배분식의 결함이 아니라 기여도-비례 배분 계열 전체의 구조적 성질(기여도 함수가 비용 0 행동에 0을 주는 모든 방식 — Lemma 3)임을 보이며(3장), 실제 2,048-셀 에이전트에서 Q(CHECK)의 정확한 영-고정점과 그 정책적 결과(턴 결정의 65%를 체크하는 수동화)를 측정한다(5장). (2) 임계 이론과 실증 — 비용 0 행동에 가상비용 ε을 부여하면 고정점이 참값 방향으로 풀리며, 해소에 필요한 임계 ε_min을 유도하고(4장), 실제 시스템에서 1칩은 회복을 재현하지 못하고 부호가 seed에 따라 요동하며(전이구간)·임계를 충분히 넘는 상수 5칩 이상은 전 seed 유효함을 재현한다(5장) — 이론이 예측한 임계의 존재가 단조 용량-반응으로 확인된 사례다(임계의 위치까지 예측하는 것은 아니다 — 6장 한계 ①). 아울러 동일 예산의 표준 MC와 3자 비교로 처방의 실용적 가치 — 저분산 배분을 보존한 채 병리만 제거 — 를 분리하고(5.3.1절), 표준 처방 후보(탐색 강화·낙관적 초기화·일률 벌점)가 전부 병리를 해소하지 못함을 통제 비교로 보인다(5.5절). (3) 정직한 범위 규정 — 이 회복이 "일반화"가 아니라 병리를 착취하던 상대에 대한 회복임을 사전 고정 비용의 홀드아웃 검증으로 보이고(콜링스테이션 상대는 소폭 손해), 평가 과정에서 발견·정정한 구현 인공물(credit 폴백 누수)과 단일 seed의 위험을 방법론적 부정적 결과로 보고한다(5·6장).</w:t>
      </w:r>
    </w:p>
    <w:p>
      <w:pPr>
        <w:spacing w:after="240" w:before="120" w:line="312" w:lineRule="auto"/>
        <w:jc w:val="center"/>
      </w:pPr>
      <w:r>
        <w:rPr>
          <w:rFonts w:ascii="신명조" w:hAnsi="신명조" w:eastAsia="신명조"/>
          <w:b/>
          <w:i w:val="0"/>
          <w:sz w:val="24"/>
          <w:w w:val="95"/>
          <w:spacing w:val="-12"/>
        </w:rPr>
        <w:t>2. 관련 연구</w:t>
      </w:r>
    </w:p>
    <w:p>
      <w:pPr>
        <w:spacing w:after="120" w:before="0" w:line="384" w:lineRule="auto"/>
        <w:jc w:val="both"/>
      </w:pPr>
      <w:r>
        <w:rPr>
          <w:rFonts w:ascii="신명조" w:hAnsi="신명조" w:eastAsia="신명조"/>
          <w:b w:val="0"/>
          <w:i w:val="0"/>
          <w:sz w:val="18"/>
          <w:w w:val="95"/>
          <w:spacing w:val="-9"/>
        </w:rPr>
        <w:t>기존 알고리즘의 병리를 명명·진단하는 연구는 강화학습에서 확립된 계보를 갖는다: Q-learning의 과대추정 편향 진단[15]은 Double Q-learning[16]이라는 처방으로 이어졌고, 최근에도 primacy bias[17]·dormant neuron[18]처럼 병리 명명 → 진단 → 최소 처방의 형식이 반복된다. 본 연구는 같은 형식을 기여도 배분의 영-고정점에 적용한 것이다.</w:t>
      </w:r>
    </w:p>
    <w:p>
      <w:pPr>
        <w:spacing w:after="120" w:before="0" w:line="384" w:lineRule="auto"/>
        <w:jc w:val="both"/>
      </w:pPr>
      <w:r>
        <w:rPr>
          <w:rFonts w:ascii="신명조" w:hAnsi="신명조" w:eastAsia="신명조"/>
          <w:b w:val="0"/>
          <w:i w:val="0"/>
          <w:sz w:val="18"/>
          <w:w w:val="95"/>
          <w:spacing w:val="-9"/>
        </w:rPr>
        <w:t>기여도 배분을 직접 공략하는 해법 연구는 두 축으로 정리된다: 지연 보상을 어느 시점의 행동에 귀속시키는가(시간축 — 재분배·조사 연구[5][19])와, 공동 보상을 어느 에이전트에 귀속시키는가(에이전트축 — 반사실적 기준선[2]·가치 분해 계열). 국내 문헌에서도 이 문제는 다중 에이전트 맥락의 '신뢰할당'으로 소개되고[20] 가치 분해 계열 해법의 적용 연구가 이어지고 있으나[21], 배분식 자체가 특정 행동 부류에 남기는 병리를 다루는 원저는 확인되지 않는다. 본 연구는 그 답들 중 기여도-비례 계열이 배분식 자체에 심는 실패 모드를 다루며, 최신 조사 연구[19]의 실패 모드 분류에도 본 병리(비용 0 행동의 영-고정점)는 명명되어 있지 않다.</w:t>
      </w:r>
    </w:p>
    <w:p>
      <w:pPr>
        <w:spacing w:after="120" w:before="0" w:line="384" w:lineRule="auto"/>
        <w:jc w:val="both"/>
      </w:pPr>
      <w:r>
        <w:rPr>
          <w:rFonts w:ascii="신명조" w:hAnsi="신명조" w:eastAsia="신명조"/>
          <w:b w:val="0"/>
          <w:i w:val="0"/>
          <w:sz w:val="18"/>
          <w:w w:val="95"/>
          <w:spacing w:val="-9"/>
        </w:rPr>
        <w:t>ZCA를 이루는 부품은 인접 문헌에 모두 존재하나, 본 연구는 그 부호를 뒤집어 같은 구조를 실패 모드로 진단한다. 협력게임 이론의 Shapley value[3]·Shapley Q-value[4]는 null-player 공리(한계 기여 0 → 배분 0)를 공정성의 바람직한 성질로 둔다 — 본 연구의 "비용 0 → credit 0"은 그 대응물이나 진단 방향이 반대다. 같은 직관은 difference rewards[1]·COMA[2]에도 깔려 있다. RUDDER[5]는 return-equivalent 재분배가 최적 정책을 보존함을 보이는데, 비례배분은 비용 0 행동에 대해 return-equivalent가 아니며 ZCA는 그 비등가 영역에서 발생한다(보존 정리의 대우). 처방 측면에서 가상비용은 PBRS가 Q-value 초기화와 등가[6][7]인 틀 안에 위치하나, "비용 0 행동에 선택적으로 가상비용을 부여해 영-고정 오순위를 임계 조건 하에 해소한다"는 처방과 그 임계의 유도·실증은 확인되지 않았고, 가장 가까운 action-penalty[8]는 모든 행동에 일률적이라 선택적이지 않다. 미방문/낙관적 0의 일시적 흡수[9]는 초기화 기인으로, 비례 credit이 구조적으로 0을 재고정하는 본 연구와 기제가 다르다. 단일 seed의 오도 위험은 재현성 문헌[10][11][12]이 확립했으며, 본 연구는 모든 성능 주장을 6개 학습 seed에서 검증하고 단일 seed가 실제로 오도했던 사례를 6장에서 보고한다.</w:t>
      </w:r>
    </w:p>
    <w:p>
      <w:pPr>
        <w:spacing w:after="240" w:before="120" w:line="312" w:lineRule="auto"/>
        <w:jc w:val="center"/>
      </w:pPr>
      <w:r>
        <w:rPr>
          <w:rFonts w:ascii="신명조" w:hAnsi="신명조" w:eastAsia="신명조"/>
          <w:b/>
          <w:i w:val="0"/>
          <w:sz w:val="24"/>
          <w:w w:val="95"/>
          <w:spacing w:val="-12"/>
        </w:rPr>
        <w:t>3. 영-기여 흡수의 형식적 특성화 — 양방향 오순위</w:t>
      </w:r>
    </w:p>
    <w:p>
      <w:pPr>
        <w:spacing w:after="80" w:before="0" w:line="384" w:lineRule="auto"/>
        <w:jc w:val="both"/>
      </w:pPr>
      <w:r>
        <w:rPr>
          <w:rFonts w:ascii="신명조" w:hAnsi="신명조" w:eastAsia="신명조"/>
          <w:b w:val="0"/>
          <w:i w:val="0"/>
          <w:sz w:val="18"/>
          <w:w w:val="95"/>
          <w:spacing w:val="-9"/>
        </w:rPr>
        <w:t>문제 설정(toy MDP). 결정 상태 s에서 행동 a₁을 한 번 선택한다. 각 행동은 투자액 inv(a₁)≥0을 가지며 비용 0 행동(CHECK)은 inv=0이다. 선택 후 궤적은 투자액 c&gt;0인 후속 행동을 포함하고 종단 보상 P로 끝난다(γ=1). μ(a₁):=E[P|a₁]로 두면 참값은 q*(s,a₁)=μ(a₁)이다.</w:t>
      </w:r>
    </w:p>
    <w:p>
      <w:pPr>
        <w:spacing w:after="40" w:before="0" w:line="312" w:lineRule="auto"/>
        <w:jc w:val="center"/>
      </w:pPr>
      <w:r>
        <w:rPr>
          <w:rFonts w:ascii="신명조" w:hAnsi="신명조" w:eastAsia="신명조"/>
          <w:b/>
          <w:i w:val="0"/>
          <w:sz w:val="18"/>
          <w:w w:val="95"/>
          <w:spacing w:val="-9"/>
        </w:rPr>
        <w:t>&lt;Table 1&gt; 행동별 return R(s, a₁) / Per-action return</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line="276" w:lineRule="auto"/>
              <w:jc w:val="center"/>
            </w:pPr>
            <w:r>
              <w:rPr>
                <w:rFonts w:ascii="신명조" w:hAnsi="신명조" w:eastAsia="신명조"/>
                <w:b/>
                <w:i w:val="0"/>
                <w:sz w:val="17"/>
                <w:w w:val="95"/>
                <w:spacing w:val="-8"/>
              </w:rPr>
              <w:t>방식 (scheme)</w:t>
            </w:r>
          </w:p>
        </w:tc>
        <w:tc>
          <w:tcPr>
            <w:tcW w:type="dxa" w:w="4320"/>
          </w:tcPr>
          <w:p>
            <w:pPr>
              <w:spacing w:line="276" w:lineRule="auto"/>
              <w:jc w:val="center"/>
            </w:pPr>
            <w:r>
              <w:rPr>
                <w:rFonts w:ascii="신명조" w:hAnsi="신명조" w:eastAsia="신명조"/>
                <w:b/>
                <w:i w:val="0"/>
                <w:sz w:val="17"/>
                <w:w w:val="95"/>
                <w:spacing w:val="-8"/>
              </w:rPr>
              <w:t>R(s, a₁)</w:t>
            </w:r>
          </w:p>
        </w:tc>
      </w:tr>
      <w:tr>
        <w:tc>
          <w:tcPr>
            <w:tcW w:type="dxa" w:w="4320"/>
          </w:tcPr>
          <w:p>
            <w:pPr>
              <w:spacing w:line="276" w:lineRule="auto"/>
              <w:jc w:val="center"/>
            </w:pPr>
            <w:r>
              <w:rPr>
                <w:rFonts w:ascii="신명조" w:hAnsi="신명조" w:eastAsia="신명조"/>
                <w:b w:val="0"/>
                <w:i w:val="0"/>
                <w:sz w:val="17"/>
                <w:w w:val="95"/>
                <w:spacing w:val="-8"/>
              </w:rPr>
              <w:t>표준 MC</w:t>
            </w:r>
          </w:p>
        </w:tc>
        <w:tc>
          <w:tcPr>
            <w:tcW w:type="dxa" w:w="4320"/>
          </w:tcPr>
          <w:p>
            <w:pPr>
              <w:spacing w:line="276" w:lineRule="auto"/>
              <w:jc w:val="center"/>
            </w:pPr>
            <w:r>
              <w:rPr>
                <w:rFonts w:ascii="신명조" w:hAnsi="신명조" w:eastAsia="신명조"/>
                <w:b w:val="0"/>
                <w:i w:val="0"/>
                <w:sz w:val="17"/>
                <w:w w:val="95"/>
                <w:spacing w:val="-8"/>
              </w:rPr>
              <w:t>P</w:t>
            </w:r>
          </w:p>
        </w:tc>
      </w:tr>
      <w:tr>
        <w:tc>
          <w:tcPr>
            <w:tcW w:type="dxa" w:w="4320"/>
          </w:tcPr>
          <w:p>
            <w:pPr>
              <w:spacing w:line="276" w:lineRule="auto"/>
              <w:jc w:val="center"/>
            </w:pPr>
            <w:r>
              <w:rPr>
                <w:rFonts w:ascii="신명조" w:hAnsi="신명조" w:eastAsia="신명조"/>
                <w:b w:val="0"/>
                <w:i w:val="0"/>
                <w:sz w:val="17"/>
                <w:w w:val="95"/>
                <w:spacing w:val="-8"/>
              </w:rPr>
              <w:t>비례배분 (PROP)</w:t>
            </w:r>
          </w:p>
        </w:tc>
        <w:tc>
          <w:tcPr>
            <w:tcW w:type="dxa" w:w="4320"/>
          </w:tcPr>
          <w:p>
            <w:pPr>
              <w:spacing w:line="276" w:lineRule="auto"/>
              <w:jc w:val="center"/>
            </w:pPr>
            <w:r>
              <w:rPr>
                <w:rFonts w:ascii="신명조" w:hAnsi="신명조" w:eastAsia="신명조"/>
                <w:b w:val="0"/>
                <w:i w:val="0"/>
                <w:sz w:val="17"/>
                <w:w w:val="95"/>
                <w:spacing w:val="-8"/>
              </w:rPr>
              <w:t>[ inv(a₁) / (inv(a₁)+c) ] · P</w:t>
            </w:r>
          </w:p>
        </w:tc>
      </w:tr>
      <w:tr>
        <w:tc>
          <w:tcPr>
            <w:tcW w:type="dxa" w:w="4320"/>
          </w:tcPr>
          <w:p>
            <w:pPr>
              <w:spacing w:line="276" w:lineRule="auto"/>
              <w:jc w:val="center"/>
            </w:pPr>
            <w:r>
              <w:rPr>
                <w:rFonts w:ascii="신명조" w:hAnsi="신명조" w:eastAsia="신명조"/>
                <w:b w:val="0"/>
                <w:i w:val="0"/>
                <w:sz w:val="17"/>
                <w:w w:val="95"/>
                <w:spacing w:val="-8"/>
              </w:rPr>
              <w:t>가상비용 (VIC)</w:t>
            </w:r>
          </w:p>
        </w:tc>
        <w:tc>
          <w:tcPr>
            <w:tcW w:type="dxa" w:w="4320"/>
          </w:tcPr>
          <w:p>
            <w:pPr>
              <w:spacing w:line="276" w:lineRule="auto"/>
              <w:jc w:val="center"/>
            </w:pPr>
            <w:r>
              <w:rPr>
                <w:rFonts w:ascii="신명조" w:hAnsi="신명조" w:eastAsia="신명조"/>
                <w:b w:val="0"/>
                <w:i w:val="0"/>
                <w:sz w:val="17"/>
                <w:w w:val="95"/>
                <w:spacing w:val="-8"/>
              </w:rPr>
              <w:t>PROP과 동일, 단 inv(CHECK) ← ε &gt; 0</w:t>
            </w:r>
          </w:p>
        </w:tc>
      </w:tr>
    </w:tbl>
    <w:p>
      <w:pPr>
        <w:spacing w:after="80" w:before="0" w:line="384" w:lineRule="auto"/>
        <w:jc w:val="both"/>
      </w:pPr>
    </w:p>
    <w:p>
      <w:pPr>
        <w:spacing w:after="80" w:before="0" w:line="384" w:lineRule="auto"/>
        <w:jc w:val="both"/>
      </w:pPr>
      <w:r>
        <w:rPr>
          <w:rFonts w:ascii="신명조" w:hAnsi="신명조" w:eastAsia="신명조"/>
          <w:b w:val="0"/>
          <w:i w:val="0"/>
          <w:sz w:val="18"/>
          <w:w w:val="95"/>
          <w:spacing w:val="-9"/>
        </w:rPr>
        <w:t>Lemma 1 (표준 MC). Q_std(s,a₁) → μ(a₁) = q*(s,a₁).</w:t>
      </w:r>
    </w:p>
    <w:p>
      <w:pPr>
        <w:spacing w:after="80" w:before="0" w:line="384" w:lineRule="auto"/>
        <w:jc w:val="both"/>
      </w:pPr>
      <w:r>
        <w:rPr>
          <w:rFonts w:ascii="신명조" w:hAnsi="신명조" w:eastAsia="신명조"/>
          <w:b w:val="0"/>
          <w:i w:val="0"/>
          <w:sz w:val="18"/>
          <w:w w:val="95"/>
          <w:spacing w:val="-9"/>
        </w:rPr>
        <w:t>Lemma 2 (영-고정점). Q_prop(s,CHECK)=[0/(0+c)]·μ(CHECK)=0 (∀ μ(CHECK)). 참값과 무관하고, R≡0이라 표본 분산도 0인 구조적 고정점이다(초기화 잔재 아님 — 방문할수록 0으로 재고정).</w:t>
      </w:r>
    </w:p>
    <w:p>
      <w:pPr>
        <w:spacing w:after="80" w:before="0" w:line="384" w:lineRule="auto"/>
        <w:jc w:val="both"/>
      </w:pPr>
      <w:r>
        <w:rPr>
          <w:rFonts w:ascii="신명조" w:hAnsi="신명조" w:eastAsia="신명조"/>
          <w:b w:val="0"/>
          <w:i w:val="0"/>
          <w:sz w:val="18"/>
          <w:w w:val="95"/>
          <w:spacing w:val="-9"/>
        </w:rPr>
        <w:t>Lemma 3 (계열 일반화). 임의의 기여도 함수 φ≥0에 대해 credit(a)=[φ(a)/Σφ]·P 꼴의 비례 credit은 φ(a)=0인 행동에서 Lemma 2와 동일한 영-고정점을 갖는다 — ZCA ⟺ φ(비용 0 행동)=0. 투자액(φ=inv)뿐 아니라 칩과 무관한 공격성 지표(φ=베팅 여부 1/0)에서도 재현되고, 균등 기여(φ≡1)와 표준 MC(return-equivalent)는 면역이다. 즉 ZCA는 본 연구가 채택한 특정 배분식의 결함이 아니라, null-player 공리(기여 0 → 배분 0)[3]를 가치 학습 신호로 쓰는 계열 전체의 구조적 함정이다.</w:t>
      </w:r>
    </w:p>
    <w:p>
      <w:pPr>
        <w:spacing w:after="80" w:before="0" w:line="384" w:lineRule="auto"/>
        <w:jc w:val="both"/>
      </w:pPr>
      <w:r>
        <w:rPr>
          <w:rFonts w:ascii="신명조" w:hAnsi="신명조" w:eastAsia="신명조"/>
          <w:b w:val="0"/>
          <w:i w:val="0"/>
          <w:sz w:val="18"/>
          <w:w w:val="95"/>
          <w:spacing w:val="-9"/>
        </w:rPr>
        <w:t>Theorem (흡수 — 나쁜 체크의 과대평가). μ_C &lt; μ_B &lt; 0이면 비례배분 greedy는 Q_prop(CHECK)=0 &gt; [b/(b+c)]μ_B이므로 열등한 CHECK를 선택한다(표준 MC는 최적 BET 선택).</w:t>
      </w:r>
    </w:p>
    <w:p>
      <w:pPr>
        <w:spacing w:after="80" w:before="0" w:line="384" w:lineRule="auto"/>
        <w:jc w:val="both"/>
      </w:pPr>
      <w:r>
        <w:rPr>
          <w:rFonts w:ascii="신명조" w:hAnsi="신명조" w:eastAsia="신명조"/>
          <w:b w:val="0"/>
          <w:i w:val="0"/>
          <w:sz w:val="18"/>
          <w:w w:val="95"/>
          <w:spacing w:val="-9"/>
        </w:rPr>
        <w:t>Theorem′ (은폐 — 좋은 체크의 과소평가). μ_C &gt; μ_B &gt; 0이면 비례배분 greedy는 Q_prop(CHECK)=0 &lt; [b/(b+c)]μ_B이므로 참-최선인 CHECK를 버리고 열등한 +EV BET을 선택한다(트랩·팟컨트롤 라인의 상실). 즉 ZCA는 특정 부호 조건의 문제가 아니라 CHECK의 참값이 0이 아닌 모든 결정 상태에서의 양방향 오순위다.</w:t>
      </w:r>
    </w:p>
    <w:p>
      <w:pPr>
        <w:spacing w:after="120" w:before="0" w:line="384" w:lineRule="auto"/>
        <w:jc w:val="both"/>
      </w:pPr>
      <w:r>
        <w:rPr>
          <w:rFonts w:ascii="신명조" w:hAnsi="신명조" w:eastAsia="신명조"/>
          <w:b w:val="0"/>
          <w:i w:val="0"/>
          <w:sz w:val="18"/>
          <w:w w:val="95"/>
          <w:spacing w:val="-9"/>
        </w:rPr>
        <w:t>Proposition 1 (낙관적 초기화와의 구분). 0-초기화의 0-선호는 충분한 방문 후 Q→μ로 소거되는 일시적 현상이고 고정점은 참값이다(Lemma 1). 반면 Q_prop(CHECK)=0은 수렴 후에도 유지되는 고정점이며 참값과 다르다(Lemma 2). 낙관적 초기화는 "아직 학습 못 해서", ZCA는 "구조적으로 학습 불가라서"다.</w:t>
      </w:r>
    </w:p>
    <w:p>
      <w:pPr>
        <w:spacing w:after="240" w:before="120" w:line="312" w:lineRule="auto"/>
        <w:jc w:val="center"/>
      </w:pPr>
      <w:r>
        <w:rPr>
          <w:rFonts w:ascii="신명조" w:hAnsi="신명조" w:eastAsia="신명조"/>
          <w:b/>
          <w:i w:val="0"/>
          <w:sz w:val="24"/>
          <w:w w:val="95"/>
          <w:spacing w:val="-12"/>
        </w:rPr>
        <w:t>4. 임계 가상비용</w:t>
      </w:r>
    </w:p>
    <w:p>
      <w:pPr>
        <w:spacing w:after="120" w:before="0" w:line="384" w:lineRule="auto"/>
        <w:jc w:val="both"/>
      </w:pPr>
      <w:r>
        <w:rPr>
          <w:rFonts w:ascii="신명조" w:hAnsi="신명조" w:eastAsia="신명조"/>
          <w:b w:val="0"/>
          <w:i w:val="0"/>
          <w:sz w:val="18"/>
          <w:w w:val="95"/>
          <w:spacing w:val="-9"/>
        </w:rPr>
        <w:t>Proposition 2 (해소 임계). CHECK에 가상 투자 ε&gt;0을 주면 Q_vic(CHECK)=[ε/(ε+c)]·μ_C로 고정점이 참값 방향으로 풀린다. 두 모드 공통으로, greedy가 참-우월 행동을 선택할 필요충분조건은 k:=[b/(b+c)](μ_B/μ_C)∈(0,1)에 대해  ε &gt; ε_min = k·c/(1−k)  이다(흡수·은폐 모드에서 동형; 수치 검증 일치). 임계 미달이면 Q_vic(CHECK)≈0으로 오순위가 잔존한다 — 이 예측이 5장에서 "1칩은 회복 재현 실패(부호 요동), 5칩 이상 전 seed 유효"로 확인된다. 팟 규모 c가 궤적마다 변하는 환경에서는 고정 소액 ε이 큰 팟에서 희석되므로(ε/(ε+c)→0), 임계는 대표 팟 규모 기준으로 설정해야 한다. 나아가 결정 상태(셀)마다 팟 규모가 달라 ε_min도 셀마다 다르므로, 고정 ε이 일부 셀에서만 임계를 넘는 중간 크기에서는 부분적·seed 의존적 회복(전이구간)이 예상된다 — 5장에서 1칩이 정확히 이 양상을 보인다.</w:t>
      </w:r>
    </w:p>
    <w:p>
      <w:pPr>
        <w:spacing w:after="120" w:before="0" w:line="384" w:lineRule="auto"/>
        <w:jc w:val="both"/>
      </w:pPr>
      <w:r>
        <w:rPr>
          <w:rFonts w:ascii="신명조" w:hAnsi="신명조" w:eastAsia="신명조"/>
          <w:b w:val="0"/>
          <w:i w:val="0"/>
          <w:sz w:val="18"/>
          <w:w w:val="95"/>
          <w:spacing w:val="-9"/>
        </w:rPr>
        <w:t>탈출 메커니즘 비교. 무정보 처방은 이 오순위를 풀지 못한다 — 결정시 노이즈는 고정점 0을 바꾸지 못하고, 동률 처리(tie-break)는 strict 부등식(0 &gt; 음수)에 미발동이다. 가상비용과 고정 페널티만 고정점을 옮기며, 가상비용의 고정점만 참값 μ_C에 연동(informed)된다.</w:t>
      </w:r>
    </w:p>
    <w:p>
      <w:pPr>
        <w:spacing w:after="240" w:before="120" w:line="312" w:lineRule="auto"/>
        <w:jc w:val="center"/>
      </w:pPr>
      <w:r>
        <w:rPr>
          <w:rFonts w:ascii="신명조" w:hAnsi="신명조" w:eastAsia="신명조"/>
          <w:b/>
          <w:i w:val="0"/>
          <w:sz w:val="24"/>
          <w:w w:val="95"/>
          <w:spacing w:val="-12"/>
        </w:rPr>
        <w:t>5. 실제 MDP에서의 측정과 처방 실증</w:t>
      </w:r>
    </w:p>
    <w:p>
      <w:pPr>
        <w:spacing w:after="80" w:before="0" w:line="384" w:lineRule="auto"/>
        <w:jc w:val="both"/>
      </w:pPr>
      <w:r>
        <w:rPr>
          <w:rFonts w:ascii="신명조" w:hAnsi="신명조" w:eastAsia="신명조"/>
          <w:b w:val="0"/>
          <w:i w:val="0"/>
          <w:sz w:val="18"/>
          <w:w w:val="95"/>
          <w:spacing w:val="-9"/>
        </w:rPr>
        <w:t>환경: (라운드 × 포지션 × 핸드 버킷 × 직전 행동) 2,048-셀 추상화, 8개 행동, softmax 탐색(온도 감쇠), 2M 에피소드, 학습 상대 TAG(타이트-공격 룰 정책) 단일. 평가는 100k 게임 × 5회(평가 seed 고정) raw greedy, 성능 주장은 학습 seed 6개(1–5, 42)에서 검증. 단위 mbb/g(=payoff×500). 모든 학습은 6장에서 보고하는 credit 폴백 인공물을 제거(clean)한 코드로 수행했다.</w:t>
      </w:r>
    </w:p>
    <w:p>
      <w:pPr>
        <w:spacing w:after="80" w:before="120" w:line="312" w:lineRule="auto"/>
        <w:jc w:val="left"/>
      </w:pPr>
      <w:r>
        <w:rPr>
          <w:rFonts w:ascii="신명조" w:hAnsi="신명조" w:eastAsia="신명조"/>
          <w:b/>
          <w:i w:val="0"/>
          <w:sz w:val="20"/>
          <w:w w:val="95"/>
          <w:spacing w:val="-10"/>
        </w:rPr>
        <w:t>5.1 영-고정점의 실측</w:t>
      </w:r>
    </w:p>
    <w:p>
      <w:pPr>
        <w:spacing w:after="80" w:before="0" w:line="384" w:lineRule="auto"/>
        <w:jc w:val="both"/>
      </w:pPr>
      <w:r>
        <w:rPr>
          <w:rFonts w:ascii="신명조" w:hAnsi="신명조" w:eastAsia="신명조"/>
          <w:b w:val="0"/>
          <w:i w:val="0"/>
          <w:sz w:val="18"/>
          <w:w w:val="95"/>
          <w:spacing w:val="-9"/>
        </w:rPr>
        <w:t>표준 MC(PURE)로 학습하면 Q(CHECK)가 −72.9~+119.8칩으로 펼쳐지지만(평균 |Q(CHECK)| 4.48), 비례배분에서는 모든 셀에서 정확히 0이다(평균 0.00, 범위 [0,0]) — Lemma 2의 직접 관측이며 학습 seed·표본과 무관한 구조적 사실이다. 이 불변식("PROP+무개입 → Q(CHECK)==0.000")은 자동 테스트로 저장소에 고정하였다.</w:t>
      </w:r>
    </w:p>
    <w:p>
      <w:pPr>
        <w:spacing w:after="80" w:before="120" w:line="312" w:lineRule="auto"/>
        <w:jc w:val="left"/>
      </w:pPr>
      <w:r>
        <w:rPr>
          <w:rFonts w:ascii="신명조" w:hAnsi="신명조" w:eastAsia="신명조"/>
          <w:b/>
          <w:i w:val="0"/>
          <w:sz w:val="20"/>
          <w:w w:val="95"/>
          <w:spacing w:val="-10"/>
        </w:rPr>
        <w:t>5.2 병리의 정책적 결과 — 수동화</w:t>
      </w:r>
    </w:p>
    <w:p>
      <w:pPr>
        <w:spacing w:after="80" w:before="0" w:line="384" w:lineRule="auto"/>
        <w:jc w:val="both"/>
      </w:pPr>
      <w:r>
        <w:rPr>
          <w:rFonts w:ascii="신명조" w:hAnsi="신명조" w:eastAsia="신명조"/>
          <w:b w:val="0"/>
          <w:i w:val="0"/>
          <w:sz w:val="18"/>
          <w:w w:val="95"/>
          <w:spacing w:val="-9"/>
        </w:rPr>
        <w:t>영-고정점의 행동적 결과를 보기 위해 학습된 정책의 행동 분포를 측정하면(20k 게임), 무개입 정책은 턴 결정의 65%를 체크한다(&lt;Figure 3&gt;). 공격 행동의 Q가 0 근방(약학습)이거나 음수인 셀에서 CHECK=0이 greedy를 차지하기 때문이다(Theorem의 실제 형태). 이 수동화는 그것을 착취하는 상대에게 체계적으로 진다 — 무작위 정책(미학습 상대) 대상 성능이 6개 학습 seed 전부에서 음수다(−318±123 mbb/g, 0/6 양수). 무작위 상대조차 이기지 못하는 것은 강함의 문제가 아니라 병리의 증거다(단순 공격 룰 정책은 같은 상대에 +11,705를 얻는다).</w:t>
      </w:r>
    </w:p>
    <w:p>
      <w:pPr>
        <w:spacing w:after="80" w:before="120" w:line="312" w:lineRule="auto"/>
        <w:jc w:val="left"/>
      </w:pPr>
      <w:r>
        <w:rPr>
          <w:rFonts w:ascii="신명조" w:hAnsi="신명조" w:eastAsia="신명조"/>
          <w:b/>
          <w:i w:val="0"/>
          <w:sz w:val="20"/>
          <w:w w:val="95"/>
          <w:spacing w:val="-10"/>
        </w:rPr>
        <w:t>5.3 임계 실증 — 1칩은 전이구간, 5칩 이상은 유효</w:t>
      </w:r>
    </w:p>
    <w:p>
      <w:pPr>
        <w:spacing w:after="80" w:before="0" w:line="384" w:lineRule="auto"/>
        <w:jc w:val="both"/>
      </w:pPr>
      <w:r>
        <w:rPr>
          <w:rFonts w:ascii="신명조" w:hAnsi="신명조" w:eastAsia="신명조"/>
          <w:b w:val="0"/>
          <w:i w:val="0"/>
          <w:sz w:val="18"/>
          <w:w w:val="95"/>
          <w:spacing w:val="-9"/>
        </w:rPr>
        <w:t>가상비용의 크기를 단일변수로 스윕한 결과(&lt;Table 2&gt;, &lt;Figure 1&gt;), Proposition 2의 예측과 정합하게 용량-반응이 단조하며, 임계를 충분히 넘는 개입에서만 전 seed 양수가 된다.</w:t>
      </w:r>
    </w:p>
    <w:p>
      <w:pPr>
        <w:spacing w:after="40" w:before="0" w:line="312" w:lineRule="auto"/>
        <w:jc w:val="center"/>
      </w:pPr>
      <w:r>
        <w:rPr>
          <w:rFonts w:ascii="신명조" w:hAnsi="신명조" w:eastAsia="신명조"/>
          <w:b/>
          <w:i w:val="0"/>
          <w:sz w:val="18"/>
          <w:w w:val="95"/>
          <w:spacing w:val="-9"/>
        </w:rPr>
        <w:t>&lt;Table 2&gt; 가상비용 크기별 성능 / Performance by virtual-cost magnitude (학습 seed 5–6개)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276" w:lineRule="auto"/>
              <w:jc w:val="center"/>
            </w:pPr>
            <w:r>
              <w:rPr>
                <w:rFonts w:ascii="신명조" w:hAnsi="신명조" w:eastAsia="신명조"/>
                <w:b/>
                <w:i w:val="0"/>
                <w:sz w:val="17"/>
                <w:w w:val="95"/>
                <w:spacing w:val="-8"/>
              </w:rPr>
              <w:t>개입 (CHECK 가상 invest)</w:t>
            </w:r>
          </w:p>
        </w:tc>
        <w:tc>
          <w:tcPr>
            <w:tcW w:type="dxa" w:w="2160"/>
          </w:tcPr>
          <w:p>
            <w:pPr>
              <w:spacing w:line="276" w:lineRule="auto"/>
              <w:jc w:val="center"/>
            </w:pPr>
            <w:r>
              <w:rPr>
                <w:rFonts w:ascii="신명조" w:hAnsi="신명조" w:eastAsia="신명조"/>
                <w:b/>
                <w:i w:val="0"/>
                <w:sz w:val="17"/>
                <w:w w:val="95"/>
                <w:spacing w:val="-8"/>
              </w:rPr>
              <w:t>vs 무작위 (mbb/g)</w:t>
            </w:r>
          </w:p>
        </w:tc>
        <w:tc>
          <w:tcPr>
            <w:tcW w:type="dxa" w:w="2160"/>
          </w:tcPr>
          <w:p>
            <w:pPr>
              <w:spacing w:line="276" w:lineRule="auto"/>
              <w:jc w:val="center"/>
            </w:pPr>
            <w:r>
              <w:rPr>
                <w:rFonts w:ascii="신명조" w:hAnsi="신명조" w:eastAsia="신명조"/>
                <w:b/>
                <w:i w:val="0"/>
                <w:sz w:val="17"/>
                <w:w w:val="95"/>
                <w:spacing w:val="-8"/>
              </w:rPr>
              <w:t>양수 seed</w:t>
            </w:r>
          </w:p>
        </w:tc>
        <w:tc>
          <w:tcPr>
            <w:tcW w:type="dxa" w:w="2160"/>
          </w:tcPr>
          <w:p>
            <w:pPr>
              <w:spacing w:line="276" w:lineRule="auto"/>
              <w:jc w:val="center"/>
            </w:pPr>
            <w:r>
              <w:rPr>
                <w:rFonts w:ascii="신명조" w:hAnsi="신명조" w:eastAsia="신명조"/>
                <w:b/>
                <w:i w:val="0"/>
                <w:sz w:val="17"/>
                <w:w w:val="95"/>
                <w:spacing w:val="-8"/>
              </w:rPr>
              <w:t>판정</w:t>
            </w:r>
          </w:p>
        </w:tc>
      </w:tr>
      <w:tr>
        <w:tc>
          <w:tcPr>
            <w:tcW w:type="dxa" w:w="2160"/>
          </w:tcPr>
          <w:p>
            <w:pPr>
              <w:spacing w:line="276" w:lineRule="auto"/>
              <w:jc w:val="center"/>
            </w:pPr>
            <w:r>
              <w:rPr>
                <w:rFonts w:ascii="신명조" w:hAnsi="신명조" w:eastAsia="신명조"/>
                <w:b w:val="0"/>
                <w:i w:val="0"/>
                <w:sz w:val="17"/>
                <w:w w:val="95"/>
                <w:spacing w:val="-8"/>
              </w:rPr>
              <w:t>(참조) 표준 MC — 배분 제거</w:t>
            </w:r>
          </w:p>
        </w:tc>
        <w:tc>
          <w:tcPr>
            <w:tcW w:type="dxa" w:w="2160"/>
          </w:tcPr>
          <w:p>
            <w:pPr>
              <w:spacing w:line="276" w:lineRule="auto"/>
              <w:jc w:val="center"/>
            </w:pPr>
            <w:r>
              <w:rPr>
                <w:rFonts w:ascii="신명조" w:hAnsi="신명조" w:eastAsia="신명조"/>
                <w:b w:val="0"/>
                <w:i w:val="0"/>
                <w:sz w:val="17"/>
                <w:w w:val="95"/>
                <w:spacing w:val="-8"/>
              </w:rPr>
              <w:t>−312±91</w:t>
            </w:r>
          </w:p>
        </w:tc>
        <w:tc>
          <w:tcPr>
            <w:tcW w:type="dxa" w:w="2160"/>
          </w:tcPr>
          <w:p>
            <w:pPr>
              <w:spacing w:line="276" w:lineRule="auto"/>
              <w:jc w:val="center"/>
            </w:pPr>
            <w:r>
              <w:rPr>
                <w:rFonts w:ascii="신명조" w:hAnsi="신명조" w:eastAsia="신명조"/>
                <w:b w:val="0"/>
                <w:i w:val="0"/>
                <w:sz w:val="17"/>
                <w:w w:val="95"/>
                <w:spacing w:val="-8"/>
              </w:rPr>
              <w:t>0/5</w:t>
            </w:r>
          </w:p>
        </w:tc>
        <w:tc>
          <w:tcPr>
            <w:tcW w:type="dxa" w:w="2160"/>
          </w:tcPr>
          <w:p>
            <w:pPr>
              <w:spacing w:line="276" w:lineRule="auto"/>
              <w:jc w:val="center"/>
            </w:pPr>
            <w:r>
              <w:rPr>
                <w:rFonts w:ascii="신명조" w:hAnsi="신명조" w:eastAsia="신명조"/>
                <w:b w:val="0"/>
                <w:i w:val="0"/>
                <w:sz w:val="17"/>
                <w:w w:val="95"/>
                <w:spacing w:val="-8"/>
              </w:rPr>
              <w:t>병리 없음·양 지표 열세(5.3.1)</w:t>
            </w:r>
          </w:p>
        </w:tc>
      </w:tr>
      <w:tr>
        <w:tc>
          <w:tcPr>
            <w:tcW w:type="dxa" w:w="2160"/>
          </w:tcPr>
          <w:p>
            <w:pPr>
              <w:spacing w:line="276" w:lineRule="auto"/>
              <w:jc w:val="center"/>
            </w:pPr>
            <w:r>
              <w:rPr>
                <w:rFonts w:ascii="신명조" w:hAnsi="신명조" w:eastAsia="신명조"/>
                <w:b w:val="0"/>
                <w:i w:val="0"/>
                <w:sz w:val="17"/>
                <w:w w:val="95"/>
                <w:spacing w:val="-8"/>
              </w:rPr>
              <w:t>없음 (ε=0)</w:t>
            </w:r>
          </w:p>
        </w:tc>
        <w:tc>
          <w:tcPr>
            <w:tcW w:type="dxa" w:w="2160"/>
          </w:tcPr>
          <w:p>
            <w:pPr>
              <w:spacing w:line="276" w:lineRule="auto"/>
              <w:jc w:val="center"/>
            </w:pPr>
            <w:r>
              <w:rPr>
                <w:rFonts w:ascii="신명조" w:hAnsi="신명조" w:eastAsia="신명조"/>
                <w:b w:val="0"/>
                <w:i w:val="0"/>
                <w:sz w:val="17"/>
                <w:w w:val="95"/>
                <w:spacing w:val="-8"/>
              </w:rPr>
              <w:t>−318±123</w:t>
            </w:r>
          </w:p>
        </w:tc>
        <w:tc>
          <w:tcPr>
            <w:tcW w:type="dxa" w:w="2160"/>
          </w:tcPr>
          <w:p>
            <w:pPr>
              <w:spacing w:line="276" w:lineRule="auto"/>
              <w:jc w:val="center"/>
            </w:pPr>
            <w:r>
              <w:rPr>
                <w:rFonts w:ascii="신명조" w:hAnsi="신명조" w:eastAsia="신명조"/>
                <w:b w:val="0"/>
                <w:i w:val="0"/>
                <w:sz w:val="17"/>
                <w:w w:val="95"/>
                <w:spacing w:val="-8"/>
              </w:rPr>
              <w:t>0/6</w:t>
            </w:r>
          </w:p>
        </w:tc>
        <w:tc>
          <w:tcPr>
            <w:tcW w:type="dxa" w:w="2160"/>
          </w:tcPr>
          <w:p>
            <w:pPr>
              <w:spacing w:line="276" w:lineRule="auto"/>
              <w:jc w:val="center"/>
            </w:pPr>
            <w:r>
              <w:rPr>
                <w:rFonts w:ascii="신명조" w:hAnsi="신명조" w:eastAsia="신명조"/>
                <w:b w:val="0"/>
                <w:i w:val="0"/>
                <w:sz w:val="17"/>
                <w:w w:val="95"/>
                <w:spacing w:val="-8"/>
              </w:rPr>
              <w:t>수동화(기준선)</w:t>
            </w:r>
          </w:p>
        </w:tc>
      </w:tr>
      <w:tr>
        <w:tc>
          <w:tcPr>
            <w:tcW w:type="dxa" w:w="2160"/>
          </w:tcPr>
          <w:p>
            <w:pPr>
              <w:spacing w:line="276" w:lineRule="auto"/>
              <w:jc w:val="center"/>
            </w:pPr>
            <w:r>
              <w:rPr>
                <w:rFonts w:ascii="신명조" w:hAnsi="신명조" w:eastAsia="신명조"/>
                <w:b w:val="0"/>
                <w:i w:val="0"/>
                <w:sz w:val="17"/>
                <w:w w:val="95"/>
                <w:spacing w:val="-8"/>
              </w:rPr>
              <w:t>상수 1칩</w:t>
            </w:r>
          </w:p>
        </w:tc>
        <w:tc>
          <w:tcPr>
            <w:tcW w:type="dxa" w:w="2160"/>
          </w:tcPr>
          <w:p>
            <w:pPr>
              <w:spacing w:line="276" w:lineRule="auto"/>
              <w:jc w:val="center"/>
            </w:pPr>
            <w:r>
              <w:rPr>
                <w:rFonts w:ascii="신명조" w:hAnsi="신명조" w:eastAsia="신명조"/>
                <w:b w:val="0"/>
                <w:i w:val="0"/>
                <w:sz w:val="17"/>
                <w:w w:val="95"/>
                <w:spacing w:val="-8"/>
              </w:rPr>
              <w:t>−117±252</w:t>
            </w:r>
          </w:p>
        </w:tc>
        <w:tc>
          <w:tcPr>
            <w:tcW w:type="dxa" w:w="2160"/>
          </w:tcPr>
          <w:p>
            <w:pPr>
              <w:spacing w:line="276" w:lineRule="auto"/>
              <w:jc w:val="center"/>
            </w:pPr>
            <w:r>
              <w:rPr>
                <w:rFonts w:ascii="신명조" w:hAnsi="신명조" w:eastAsia="신명조"/>
                <w:b w:val="0"/>
                <w:i w:val="0"/>
                <w:sz w:val="17"/>
                <w:w w:val="95"/>
                <w:spacing w:val="-8"/>
              </w:rPr>
              <w:t>2/6¹</w:t>
            </w:r>
          </w:p>
        </w:tc>
        <w:tc>
          <w:tcPr>
            <w:tcW w:type="dxa" w:w="2160"/>
          </w:tcPr>
          <w:p>
            <w:pPr>
              <w:spacing w:line="276" w:lineRule="auto"/>
              <w:jc w:val="center"/>
            </w:pPr>
            <w:r>
              <w:rPr>
                <w:rFonts w:ascii="신명조" w:hAnsi="신명조" w:eastAsia="신명조"/>
                <w:b w:val="0"/>
                <w:i w:val="0"/>
                <w:sz w:val="17"/>
                <w:w w:val="95"/>
                <w:spacing w:val="-8"/>
              </w:rPr>
              <w:t>전이구간 — 부호 요동</w:t>
            </w:r>
          </w:p>
        </w:tc>
      </w:tr>
      <w:tr>
        <w:tc>
          <w:tcPr>
            <w:tcW w:type="dxa" w:w="2160"/>
          </w:tcPr>
          <w:p>
            <w:pPr>
              <w:spacing w:line="276" w:lineRule="auto"/>
              <w:jc w:val="center"/>
            </w:pPr>
            <w:r>
              <w:rPr>
                <w:rFonts w:ascii="신명조" w:hAnsi="신명조" w:eastAsia="신명조"/>
                <w:b w:val="0"/>
                <w:i w:val="0"/>
                <w:sz w:val="17"/>
                <w:w w:val="95"/>
                <w:spacing w:val="-8"/>
              </w:rPr>
              <w:t>상수 5칩</w:t>
            </w:r>
          </w:p>
        </w:tc>
        <w:tc>
          <w:tcPr>
            <w:tcW w:type="dxa" w:w="2160"/>
          </w:tcPr>
          <w:p>
            <w:pPr>
              <w:spacing w:line="276" w:lineRule="auto"/>
              <w:jc w:val="center"/>
            </w:pPr>
            <w:r>
              <w:rPr>
                <w:rFonts w:ascii="신명조" w:hAnsi="신명조" w:eastAsia="신명조"/>
                <w:b w:val="0"/>
                <w:i w:val="0"/>
                <w:sz w:val="17"/>
                <w:w w:val="95"/>
                <w:spacing w:val="-8"/>
              </w:rPr>
              <w:t>+1230±693</w:t>
            </w:r>
          </w:p>
        </w:tc>
        <w:tc>
          <w:tcPr>
            <w:tcW w:type="dxa" w:w="2160"/>
          </w:tcPr>
          <w:p>
            <w:pPr>
              <w:spacing w:line="276" w:lineRule="auto"/>
              <w:jc w:val="center"/>
            </w:pPr>
            <w:r>
              <w:rPr>
                <w:rFonts w:ascii="신명조" w:hAnsi="신명조" w:eastAsia="신명조"/>
                <w:b w:val="0"/>
                <w:i w:val="0"/>
                <w:sz w:val="17"/>
                <w:w w:val="95"/>
                <w:spacing w:val="-8"/>
              </w:rPr>
              <w:t>5/5</w:t>
            </w:r>
          </w:p>
        </w:tc>
        <w:tc>
          <w:tcPr>
            <w:tcW w:type="dxa" w:w="2160"/>
          </w:tcPr>
          <w:p>
            <w:pPr>
              <w:spacing w:line="276" w:lineRule="auto"/>
              <w:jc w:val="center"/>
            </w:pPr>
            <w:r>
              <w:rPr>
                <w:rFonts w:ascii="신명조" w:hAnsi="신명조" w:eastAsia="신명조"/>
                <w:b w:val="0"/>
                <w:i w:val="0"/>
                <w:sz w:val="17"/>
                <w:w w:val="95"/>
                <w:spacing w:val="-8"/>
              </w:rPr>
              <w:t>임계 초과 — 유효</w:t>
            </w:r>
          </w:p>
        </w:tc>
      </w:tr>
      <w:tr>
        <w:tc>
          <w:tcPr>
            <w:tcW w:type="dxa" w:w="2160"/>
          </w:tcPr>
          <w:p>
            <w:pPr>
              <w:spacing w:line="276" w:lineRule="auto"/>
              <w:jc w:val="center"/>
            </w:pPr>
            <w:r>
              <w:rPr>
                <w:rFonts w:ascii="신명조" w:hAnsi="신명조" w:eastAsia="신명조"/>
                <w:b w:val="0"/>
                <w:i w:val="0"/>
                <w:sz w:val="17"/>
                <w:w w:val="95"/>
                <w:spacing w:val="-8"/>
              </w:rPr>
              <w:t>상수 20칩</w:t>
            </w:r>
          </w:p>
        </w:tc>
        <w:tc>
          <w:tcPr>
            <w:tcW w:type="dxa" w:w="2160"/>
          </w:tcPr>
          <w:p>
            <w:pPr>
              <w:spacing w:line="276" w:lineRule="auto"/>
              <w:jc w:val="center"/>
            </w:pPr>
            <w:r>
              <w:rPr>
                <w:rFonts w:ascii="신명조" w:hAnsi="신명조" w:eastAsia="신명조"/>
                <w:b w:val="0"/>
                <w:i w:val="0"/>
                <w:sz w:val="17"/>
                <w:w w:val="95"/>
                <w:spacing w:val="-8"/>
              </w:rPr>
              <w:t>+1659±825</w:t>
            </w:r>
          </w:p>
        </w:tc>
        <w:tc>
          <w:tcPr>
            <w:tcW w:type="dxa" w:w="2160"/>
          </w:tcPr>
          <w:p>
            <w:pPr>
              <w:spacing w:line="276" w:lineRule="auto"/>
              <w:jc w:val="center"/>
            </w:pPr>
            <w:r>
              <w:rPr>
                <w:rFonts w:ascii="신명조" w:hAnsi="신명조" w:eastAsia="신명조"/>
                <w:b w:val="0"/>
                <w:i w:val="0"/>
                <w:sz w:val="17"/>
                <w:w w:val="95"/>
                <w:spacing w:val="-8"/>
              </w:rPr>
              <w:t>5/5</w:t>
            </w:r>
          </w:p>
        </w:tc>
        <w:tc>
          <w:tcPr>
            <w:tcW w:type="dxa" w:w="2160"/>
          </w:tcPr>
          <w:p>
            <w:pPr>
              <w:spacing w:line="276" w:lineRule="auto"/>
              <w:jc w:val="center"/>
            </w:pPr>
            <w:r>
              <w:rPr>
                <w:rFonts w:ascii="신명조" w:hAnsi="신명조" w:eastAsia="신명조"/>
                <w:b w:val="0"/>
                <w:i w:val="0"/>
                <w:sz w:val="17"/>
                <w:w w:val="95"/>
                <w:spacing w:val="-8"/>
              </w:rPr>
              <w:t>유효</w:t>
            </w:r>
          </w:p>
        </w:tc>
      </w:tr>
      <w:tr>
        <w:tc>
          <w:tcPr>
            <w:tcW w:type="dxa" w:w="2160"/>
          </w:tcPr>
          <w:p>
            <w:pPr>
              <w:spacing w:line="276" w:lineRule="auto"/>
              <w:jc w:val="center"/>
            </w:pPr>
            <w:r>
              <w:rPr>
                <w:rFonts w:ascii="신명조" w:hAnsi="신명조" w:eastAsia="신명조"/>
                <w:b w:val="0"/>
                <w:i w:val="0"/>
                <w:sz w:val="17"/>
                <w:w w:val="95"/>
                <w:spacing w:val="-8"/>
              </w:rPr>
              <w:t>상수 60칩</w:t>
            </w:r>
          </w:p>
        </w:tc>
        <w:tc>
          <w:tcPr>
            <w:tcW w:type="dxa" w:w="2160"/>
          </w:tcPr>
          <w:p>
            <w:pPr>
              <w:spacing w:line="276" w:lineRule="auto"/>
              <w:jc w:val="center"/>
            </w:pPr>
            <w:r>
              <w:rPr>
                <w:rFonts w:ascii="신명조" w:hAnsi="신명조" w:eastAsia="신명조"/>
                <w:b w:val="0"/>
                <w:i w:val="0"/>
                <w:sz w:val="17"/>
                <w:w w:val="95"/>
                <w:spacing w:val="-8"/>
              </w:rPr>
              <w:t>+806±451</w:t>
            </w:r>
          </w:p>
        </w:tc>
        <w:tc>
          <w:tcPr>
            <w:tcW w:type="dxa" w:w="2160"/>
          </w:tcPr>
          <w:p>
            <w:pPr>
              <w:spacing w:line="276" w:lineRule="auto"/>
              <w:jc w:val="center"/>
            </w:pPr>
            <w:r>
              <w:rPr>
                <w:rFonts w:ascii="신명조" w:hAnsi="신명조" w:eastAsia="신명조"/>
                <w:b w:val="0"/>
                <w:i w:val="0"/>
                <w:sz w:val="17"/>
                <w:w w:val="95"/>
                <w:spacing w:val="-8"/>
              </w:rPr>
              <w:t>5/5</w:t>
            </w:r>
          </w:p>
        </w:tc>
        <w:tc>
          <w:tcPr>
            <w:tcW w:type="dxa" w:w="2160"/>
          </w:tcPr>
          <w:p>
            <w:pPr>
              <w:spacing w:line="276" w:lineRule="auto"/>
              <w:jc w:val="center"/>
            </w:pPr>
            <w:r>
              <w:rPr>
                <w:rFonts w:ascii="신명조" w:hAnsi="신명조" w:eastAsia="신명조"/>
                <w:b w:val="0"/>
                <w:i w:val="0"/>
                <w:sz w:val="17"/>
                <w:w w:val="95"/>
                <w:spacing w:val="-8"/>
              </w:rPr>
              <w:t>유효(과용량 방향)</w:t>
            </w:r>
          </w:p>
        </w:tc>
      </w:tr>
      <w:tr>
        <w:tc>
          <w:tcPr>
            <w:tcW w:type="dxa" w:w="2160"/>
          </w:tcPr>
          <w:p>
            <w:pPr>
              <w:spacing w:line="276" w:lineRule="auto"/>
              <w:jc w:val="center"/>
            </w:pPr>
            <w:r>
              <w:rPr>
                <w:rFonts w:ascii="신명조" w:hAnsi="신명조" w:eastAsia="신명조"/>
                <w:b w:val="0"/>
                <w:i w:val="0"/>
                <w:sz w:val="17"/>
                <w:w w:val="95"/>
                <w:spacing w:val="-8"/>
              </w:rPr>
              <w:t>체크시점 팟 30%</w:t>
            </w:r>
          </w:p>
        </w:tc>
        <w:tc>
          <w:tcPr>
            <w:tcW w:type="dxa" w:w="2160"/>
          </w:tcPr>
          <w:p>
            <w:pPr>
              <w:spacing w:line="276" w:lineRule="auto"/>
              <w:jc w:val="center"/>
            </w:pPr>
            <w:r>
              <w:rPr>
                <w:rFonts w:ascii="신명조" w:hAnsi="신명조" w:eastAsia="신명조"/>
                <w:b w:val="0"/>
                <w:i w:val="0"/>
                <w:sz w:val="17"/>
                <w:w w:val="95"/>
                <w:spacing w:val="-8"/>
              </w:rPr>
              <w:t>+1546±535</w:t>
            </w:r>
          </w:p>
        </w:tc>
        <w:tc>
          <w:tcPr>
            <w:tcW w:type="dxa" w:w="2160"/>
          </w:tcPr>
          <w:p>
            <w:pPr>
              <w:spacing w:line="276" w:lineRule="auto"/>
              <w:jc w:val="center"/>
            </w:pPr>
            <w:r>
              <w:rPr>
                <w:rFonts w:ascii="신명조" w:hAnsi="신명조" w:eastAsia="신명조"/>
                <w:b w:val="0"/>
                <w:i w:val="0"/>
                <w:sz w:val="17"/>
                <w:w w:val="95"/>
                <w:spacing w:val="-8"/>
              </w:rPr>
              <w:t>6/6</w:t>
            </w:r>
          </w:p>
        </w:tc>
        <w:tc>
          <w:tcPr>
            <w:tcW w:type="dxa" w:w="2160"/>
          </w:tcPr>
          <w:p>
            <w:pPr>
              <w:spacing w:line="276" w:lineRule="auto"/>
              <w:jc w:val="center"/>
            </w:pPr>
            <w:r>
              <w:rPr>
                <w:rFonts w:ascii="신명조" w:hAnsi="신명조" w:eastAsia="신명조"/>
                <w:b w:val="0"/>
                <w:i w:val="0"/>
                <w:sz w:val="17"/>
                <w:w w:val="95"/>
                <w:spacing w:val="-8"/>
              </w:rPr>
              <w:t>유효</w:t>
            </w:r>
          </w:p>
        </w:tc>
      </w:tr>
      <w:tr>
        <w:tc>
          <w:tcPr>
            <w:tcW w:type="dxa" w:w="2160"/>
          </w:tcPr>
          <w:p>
            <w:pPr>
              <w:spacing w:line="276" w:lineRule="auto"/>
              <w:jc w:val="center"/>
            </w:pPr>
            <w:r>
              <w:rPr>
                <w:rFonts w:ascii="신명조" w:hAnsi="신명조" w:eastAsia="신명조"/>
                <w:b w:val="0"/>
                <w:i w:val="0"/>
                <w:sz w:val="17"/>
                <w:w w:val="95"/>
                <w:spacing w:val="-8"/>
              </w:rPr>
              <w:t>체크시점 팟 ≤15%</w:t>
            </w:r>
          </w:p>
        </w:tc>
        <w:tc>
          <w:tcPr>
            <w:tcW w:type="dxa" w:w="2160"/>
          </w:tcPr>
          <w:p>
            <w:pPr>
              <w:spacing w:line="276" w:lineRule="auto"/>
              <w:jc w:val="center"/>
            </w:pPr>
            <w:r>
              <w:rPr>
                <w:rFonts w:ascii="신명조" w:hAnsi="신명조" w:eastAsia="신명조"/>
                <w:b w:val="0"/>
                <w:i w:val="0"/>
                <w:sz w:val="17"/>
                <w:w w:val="95"/>
                <w:spacing w:val="-8"/>
              </w:rPr>
              <w:t>−276 ~ −94</w:t>
            </w:r>
          </w:p>
        </w:tc>
        <w:tc>
          <w:tcPr>
            <w:tcW w:type="dxa" w:w="2160"/>
          </w:tcPr>
          <w:p>
            <w:pPr>
              <w:spacing w:line="276" w:lineRule="auto"/>
              <w:jc w:val="center"/>
            </w:pPr>
            <w:r>
              <w:rPr>
                <w:rFonts w:ascii="신명조" w:hAnsi="신명조" w:eastAsia="신명조"/>
                <w:b w:val="0"/>
                <w:i w:val="0"/>
                <w:sz w:val="17"/>
                <w:w w:val="95"/>
                <w:spacing w:val="-8"/>
              </w:rPr>
              <w:t>0~3/5</w:t>
            </w:r>
          </w:p>
        </w:tc>
        <w:tc>
          <w:tcPr>
            <w:tcW w:type="dxa" w:w="2160"/>
          </w:tcPr>
          <w:p>
            <w:pPr>
              <w:spacing w:line="276" w:lineRule="auto"/>
              <w:jc w:val="center"/>
            </w:pPr>
            <w:r>
              <w:rPr>
                <w:rFonts w:ascii="신명조" w:hAnsi="신명조" w:eastAsia="신명조"/>
                <w:b w:val="0"/>
                <w:i w:val="0"/>
                <w:sz w:val="17"/>
                <w:w w:val="95"/>
                <w:spacing w:val="-8"/>
              </w:rPr>
              <w:t>전이구간 — 비신뢰</w:t>
            </w:r>
          </w:p>
        </w:tc>
      </w:tr>
    </w:tbl>
    <w:p>
      <w:pPr>
        <w:spacing w:after="80" w:before="0" w:line="384" w:lineRule="auto"/>
        <w:jc w:val="both"/>
      </w:pPr>
    </w:p>
    <w:p>
      <w:pPr>
        <w:spacing w:after="80" w:before="0" w:line="384" w:lineRule="auto"/>
        <w:jc w:val="both"/>
      </w:pPr>
      <w:r>
        <w:rPr>
          <w:rFonts w:ascii="신명조" w:hAnsi="신명조" w:eastAsia="신명조"/>
          <w:b w:val="0"/>
          <w:i w:val="0"/>
          <w:sz w:val="18"/>
          <w:w w:val="95"/>
          <w:spacing w:val="-9"/>
        </w:rPr>
        <w:t>¹ 1칩 조건의 초기 단일 seed(42) 측정은 −376으로 "무효"를 시사했으나, 6-seed 확장에서 부호 요동(2/6 양수)이 드러났다 — 단일 seed의 오도 위험(6장)의 추가 사례이며, 셀별 임계 이질성에 의한 전이구간 해석(4장)과 정합한다. 행동 수준에서 임계 초과 개입은 수동화를 정확히 뒤집는다(&lt;Figure 3&gt;) — 턴 체크 65% → 턴 소액 베팅 65%, 승률 51.8→54.5%, 평균 승리 팟 +19.9→+25.3칩. 즉 Q(CHECK)가 참값(무작위 상대에게 턴 체크는 지분 포기 = 음수)을 학습하자 greedy가 베팅으로 전환한 것이다. 결정시점 상수 비용(fixed-K)에서 재현되므로 사후정보(최종 팟 사용) 가설은 배제되고, 이론(결정시점 상수 ε)과 정확히 대응한다.</w:t>
      </w:r>
    </w:p>
    <w:p>
      <w:pPr>
        <w:spacing w:after="80" w:before="120" w:line="312" w:lineRule="auto"/>
        <w:jc w:val="left"/>
      </w:pPr>
      <w:r>
        <w:rPr>
          <w:rFonts w:ascii="신명조" w:hAnsi="신명조" w:eastAsia="신명조"/>
          <w:b/>
          <w:i w:val="0"/>
          <w:sz w:val="20"/>
          <w:w w:val="95"/>
          <w:spacing w:val="-10"/>
        </w:rPr>
        <w:t>5.3.1 표준 MC와의 동일 예산 비교 — "비례배분을 왜 쓰는가"</w:t>
      </w:r>
    </w:p>
    <w:p>
      <w:pPr>
        <w:spacing w:after="80" w:before="0" w:line="384" w:lineRule="auto"/>
        <w:jc w:val="both"/>
      </w:pPr>
      <w:r>
        <w:rPr>
          <w:rFonts w:ascii="신명조" w:hAnsi="신명조" w:eastAsia="신명조"/>
          <w:b w:val="0"/>
          <w:i w:val="0"/>
          <w:sz w:val="18"/>
          <w:w w:val="95"/>
          <w:spacing w:val="-9"/>
        </w:rPr>
        <w:t>"비례배분이 병리를 만드니 처음부터 표준 MC를 쓰면 된다"는 자연스러운 반박을 동일 조건 3자 비교로 검증하였다(single-TAG·2M·seed 5개). 표준 MC(PURE)는 vs TAG +115±25, vs 무작위 −312±91(0/5 양수)로 양 지표 모두 열세다 — 비례배분+임계 비용(+909 / +1230~+1546) 대비 크게 낮다. 학습 곡선(&lt;Figure 2&gt;)은 그 원인이 학습 속도가 아니라 안정성임을 보여준다: 표준 MC는 학습 중반까지 비례배분과 대등한 성능(vs TAG 약 +900)을 보이다가 탐색 온도가 낮아지는 후반(약 1.4M 에피소드)에 붕괴한다(고분산 MC의 알려진 불안정). 비례배분 계열은 개입 유무와 무관하게 붕괴하지 않는다. 즉 비례배분은 저분산으로 후반 안정성을 사고, 그 대가인 ZCA를 임계 비용이 치료한다 — 세 방식 중 "강하게 배우고 병도 없는" 조합은 비례배분+임계 비용뿐이다.</w:t>
      </w:r>
    </w:p>
    <w:p>
      <w:pPr>
        <w:spacing w:after="80" w:before="120" w:line="312" w:lineRule="auto"/>
        <w:jc w:val="left"/>
      </w:pPr>
      <w:r>
        <w:rPr>
          <w:rFonts w:ascii="신명조" w:hAnsi="신명조" w:eastAsia="신명조"/>
          <w:b/>
          <w:i w:val="0"/>
          <w:sz w:val="20"/>
          <w:w w:val="95"/>
          <w:spacing w:val="-10"/>
        </w:rPr>
        <w:t>5.4 이것은 일반화가 아니다 — 상대별 손익과 범위</w:t>
      </w:r>
    </w:p>
    <w:p>
      <w:pPr>
        <w:spacing w:after="80" w:before="0" w:line="384" w:lineRule="auto"/>
        <w:jc w:val="both"/>
      </w:pPr>
      <w:r>
        <w:rPr>
          <w:rFonts w:ascii="신명조" w:hAnsi="신명조" w:eastAsia="신명조"/>
          <w:b w:val="0"/>
          <w:i w:val="0"/>
          <w:sz w:val="18"/>
          <w:w w:val="95"/>
          <w:spacing w:val="-9"/>
        </w:rPr>
        <w:t>비용을 사전에 고정하고(체크시점 팟 30%) 학습에 쓰지 않은 4종 상대로 검증하면(&lt;Table 3&gt;), 이득은 상대 의존적이다.</w:t>
      </w:r>
    </w:p>
    <w:p>
      <w:pPr>
        <w:spacing w:after="40" w:before="0" w:line="312" w:lineRule="auto"/>
        <w:jc w:val="center"/>
      </w:pPr>
      <w:r>
        <w:rPr>
          <w:rFonts w:ascii="신명조" w:hAnsi="신명조" w:eastAsia="신명조"/>
          <w:b/>
          <w:i w:val="0"/>
          <w:sz w:val="18"/>
          <w:w w:val="95"/>
          <w:spacing w:val="-9"/>
        </w:rPr>
        <w:t>&lt;Table 3&gt; 홀드아웃 상대별 손익 / Held-out opponent deltas (mbb/g, seed 5개 평균)</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line="276" w:lineRule="auto"/>
              <w:jc w:val="center"/>
            </w:pPr>
            <w:r>
              <w:rPr>
                <w:rFonts w:ascii="신명조" w:hAnsi="신명조" w:eastAsia="신명조"/>
                <w:b/>
                <w:i w:val="0"/>
                <w:sz w:val="17"/>
                <w:w w:val="95"/>
                <w:spacing w:val="-8"/>
              </w:rPr>
              <w:t>홀드아웃 상대</w:t>
            </w:r>
          </w:p>
        </w:tc>
        <w:tc>
          <w:tcPr>
            <w:tcW w:type="dxa" w:w="2880"/>
          </w:tcPr>
          <w:p>
            <w:pPr>
              <w:spacing w:line="276" w:lineRule="auto"/>
              <w:jc w:val="center"/>
            </w:pPr>
            <w:r>
              <w:rPr>
                <w:rFonts w:ascii="신명조" w:hAnsi="신명조" w:eastAsia="신명조"/>
                <w:b/>
                <w:i w:val="0"/>
                <w:sz w:val="17"/>
                <w:w w:val="95"/>
                <w:spacing w:val="-8"/>
              </w:rPr>
              <w:t>Δ(개입−무개입)</w:t>
            </w:r>
          </w:p>
        </w:tc>
        <w:tc>
          <w:tcPr>
            <w:tcW w:type="dxa" w:w="2880"/>
          </w:tcPr>
          <w:p>
            <w:pPr>
              <w:spacing w:line="276" w:lineRule="auto"/>
              <w:jc w:val="center"/>
            </w:pPr>
            <w:r>
              <w:rPr>
                <w:rFonts w:ascii="신명조" w:hAnsi="신명조" w:eastAsia="신명조"/>
                <w:b/>
                <w:i w:val="0"/>
                <w:sz w:val="17"/>
                <w:w w:val="95"/>
                <w:spacing w:val="-8"/>
              </w:rPr>
              <w:t>개선 seed</w:t>
            </w:r>
          </w:p>
        </w:tc>
      </w:tr>
      <w:tr>
        <w:tc>
          <w:tcPr>
            <w:tcW w:type="dxa" w:w="2880"/>
          </w:tcPr>
          <w:p>
            <w:pPr>
              <w:spacing w:line="276" w:lineRule="auto"/>
              <w:jc w:val="center"/>
            </w:pPr>
            <w:r>
              <w:rPr>
                <w:rFonts w:ascii="신명조" w:hAnsi="신명조" w:eastAsia="신명조"/>
                <w:b w:val="0"/>
                <w:i w:val="0"/>
                <w:sz w:val="17"/>
                <w:w w:val="95"/>
                <w:spacing w:val="-8"/>
              </w:rPr>
              <w:t>무작위 (병리 착취 상대)</w:t>
            </w:r>
          </w:p>
        </w:tc>
        <w:tc>
          <w:tcPr>
            <w:tcW w:type="dxa" w:w="2880"/>
          </w:tcPr>
          <w:p>
            <w:pPr>
              <w:spacing w:line="276" w:lineRule="auto"/>
              <w:jc w:val="center"/>
            </w:pPr>
            <w:r>
              <w:rPr>
                <w:rFonts w:ascii="신명조" w:hAnsi="신명조" w:eastAsia="신명조"/>
                <w:b w:val="0"/>
                <w:i w:val="0"/>
                <w:sz w:val="17"/>
                <w:w w:val="95"/>
                <w:spacing w:val="-8"/>
              </w:rPr>
              <w:t>+1,864</w:t>
            </w:r>
          </w:p>
        </w:tc>
        <w:tc>
          <w:tcPr>
            <w:tcW w:type="dxa" w:w="2880"/>
          </w:tcPr>
          <w:p>
            <w:pPr>
              <w:spacing w:line="276" w:lineRule="auto"/>
              <w:jc w:val="center"/>
            </w:pPr>
            <w:r>
              <w:rPr>
                <w:rFonts w:ascii="신명조" w:hAnsi="신명조" w:eastAsia="신명조"/>
                <w:b w:val="0"/>
                <w:i w:val="0"/>
                <w:sz w:val="17"/>
                <w:w w:val="95"/>
                <w:spacing w:val="-8"/>
              </w:rPr>
              <w:t>6/6</w:t>
            </w:r>
          </w:p>
        </w:tc>
      </w:tr>
      <w:tr>
        <w:tc>
          <w:tcPr>
            <w:tcW w:type="dxa" w:w="2880"/>
          </w:tcPr>
          <w:p>
            <w:pPr>
              <w:spacing w:line="276" w:lineRule="auto"/>
              <w:jc w:val="center"/>
            </w:pPr>
            <w:r>
              <w:rPr>
                <w:rFonts w:ascii="신명조" w:hAnsi="신명조" w:eastAsia="신명조"/>
                <w:b w:val="0"/>
                <w:i w:val="0"/>
                <w:sz w:val="17"/>
                <w:w w:val="95"/>
                <w:spacing w:val="-8"/>
              </w:rPr>
              <w:t>LAG (루즈-공격)</w:t>
            </w:r>
          </w:p>
        </w:tc>
        <w:tc>
          <w:tcPr>
            <w:tcW w:type="dxa" w:w="2880"/>
          </w:tcPr>
          <w:p>
            <w:pPr>
              <w:spacing w:line="276" w:lineRule="auto"/>
              <w:jc w:val="center"/>
            </w:pPr>
            <w:r>
              <w:rPr>
                <w:rFonts w:ascii="신명조" w:hAnsi="신명조" w:eastAsia="신명조"/>
                <w:b w:val="0"/>
                <w:i w:val="0"/>
                <w:sz w:val="17"/>
                <w:w w:val="95"/>
                <w:spacing w:val="-8"/>
              </w:rPr>
              <w:t>+73</w:t>
            </w:r>
          </w:p>
        </w:tc>
        <w:tc>
          <w:tcPr>
            <w:tcW w:type="dxa" w:w="2880"/>
          </w:tcPr>
          <w:p>
            <w:pPr>
              <w:spacing w:line="276" w:lineRule="auto"/>
              <w:jc w:val="center"/>
            </w:pPr>
            <w:r>
              <w:rPr>
                <w:rFonts w:ascii="신명조" w:hAnsi="신명조" w:eastAsia="신명조"/>
                <w:b w:val="0"/>
                <w:i w:val="0"/>
                <w:sz w:val="17"/>
                <w:w w:val="95"/>
                <w:spacing w:val="-8"/>
              </w:rPr>
              <w:t>3/5</w:t>
            </w:r>
          </w:p>
        </w:tc>
      </w:tr>
      <w:tr>
        <w:tc>
          <w:tcPr>
            <w:tcW w:type="dxa" w:w="2880"/>
          </w:tcPr>
          <w:p>
            <w:pPr>
              <w:spacing w:line="276" w:lineRule="auto"/>
              <w:jc w:val="center"/>
            </w:pPr>
            <w:r>
              <w:rPr>
                <w:rFonts w:ascii="신명조" w:hAnsi="신명조" w:eastAsia="신명조"/>
                <w:b w:val="0"/>
                <w:i w:val="0"/>
                <w:sz w:val="17"/>
                <w:w w:val="95"/>
                <w:spacing w:val="-8"/>
              </w:rPr>
              <w:t>Maniac (초공격)</w:t>
            </w:r>
          </w:p>
        </w:tc>
        <w:tc>
          <w:tcPr>
            <w:tcW w:type="dxa" w:w="2880"/>
          </w:tcPr>
          <w:p>
            <w:pPr>
              <w:spacing w:line="276" w:lineRule="auto"/>
              <w:jc w:val="center"/>
            </w:pPr>
            <w:r>
              <w:rPr>
                <w:rFonts w:ascii="신명조" w:hAnsi="신명조" w:eastAsia="신명조"/>
                <w:b w:val="0"/>
                <w:i w:val="0"/>
                <w:sz w:val="17"/>
                <w:w w:val="95"/>
                <w:spacing w:val="-8"/>
              </w:rPr>
              <w:t>+307</w:t>
            </w:r>
          </w:p>
        </w:tc>
        <w:tc>
          <w:tcPr>
            <w:tcW w:type="dxa" w:w="2880"/>
          </w:tcPr>
          <w:p>
            <w:pPr>
              <w:spacing w:line="276" w:lineRule="auto"/>
              <w:jc w:val="center"/>
            </w:pPr>
            <w:r>
              <w:rPr>
                <w:rFonts w:ascii="신명조" w:hAnsi="신명조" w:eastAsia="신명조"/>
                <w:b w:val="0"/>
                <w:i w:val="0"/>
                <w:sz w:val="17"/>
                <w:w w:val="95"/>
                <w:spacing w:val="-8"/>
              </w:rPr>
              <w:t>3/5</w:t>
            </w:r>
          </w:p>
        </w:tc>
      </w:tr>
      <w:tr>
        <w:tc>
          <w:tcPr>
            <w:tcW w:type="dxa" w:w="2880"/>
          </w:tcPr>
          <w:p>
            <w:pPr>
              <w:spacing w:line="276" w:lineRule="auto"/>
              <w:jc w:val="center"/>
            </w:pPr>
            <w:r>
              <w:rPr>
                <w:rFonts w:ascii="신명조" w:hAnsi="신명조" w:eastAsia="신명조"/>
                <w:b w:val="0"/>
                <w:i w:val="0"/>
                <w:sz w:val="17"/>
                <w:w w:val="95"/>
                <w:spacing w:val="-8"/>
              </w:rPr>
              <w:t>Nit (초타이트)</w:t>
            </w:r>
          </w:p>
        </w:tc>
        <w:tc>
          <w:tcPr>
            <w:tcW w:type="dxa" w:w="2880"/>
          </w:tcPr>
          <w:p>
            <w:pPr>
              <w:spacing w:line="276" w:lineRule="auto"/>
              <w:jc w:val="center"/>
            </w:pPr>
            <w:r>
              <w:rPr>
                <w:rFonts w:ascii="신명조" w:hAnsi="신명조" w:eastAsia="신명조"/>
                <w:b w:val="0"/>
                <w:i w:val="0"/>
                <w:sz w:val="17"/>
                <w:w w:val="95"/>
                <w:spacing w:val="-8"/>
              </w:rPr>
              <w:t>+16</w:t>
            </w:r>
          </w:p>
        </w:tc>
        <w:tc>
          <w:tcPr>
            <w:tcW w:type="dxa" w:w="2880"/>
          </w:tcPr>
          <w:p>
            <w:pPr>
              <w:spacing w:line="276" w:lineRule="auto"/>
              <w:jc w:val="center"/>
            </w:pPr>
            <w:r>
              <w:rPr>
                <w:rFonts w:ascii="신명조" w:hAnsi="신명조" w:eastAsia="신명조"/>
                <w:b w:val="0"/>
                <w:i w:val="0"/>
                <w:sz w:val="17"/>
                <w:w w:val="95"/>
                <w:spacing w:val="-8"/>
              </w:rPr>
              <w:t>5/5</w:t>
            </w:r>
          </w:p>
        </w:tc>
      </w:tr>
      <w:tr>
        <w:tc>
          <w:tcPr>
            <w:tcW w:type="dxa" w:w="2880"/>
          </w:tcPr>
          <w:p>
            <w:pPr>
              <w:spacing w:line="276" w:lineRule="auto"/>
              <w:jc w:val="center"/>
            </w:pPr>
            <w:r>
              <w:rPr>
                <w:rFonts w:ascii="신명조" w:hAnsi="신명조" w:eastAsia="신명조"/>
                <w:b w:val="0"/>
                <w:i w:val="0"/>
                <w:sz w:val="17"/>
                <w:w w:val="95"/>
                <w:spacing w:val="-8"/>
              </w:rPr>
              <w:t>Station (콜링스테이션)</w:t>
            </w:r>
          </w:p>
        </w:tc>
        <w:tc>
          <w:tcPr>
            <w:tcW w:type="dxa" w:w="2880"/>
          </w:tcPr>
          <w:p>
            <w:pPr>
              <w:spacing w:line="276" w:lineRule="auto"/>
              <w:jc w:val="center"/>
            </w:pPr>
            <w:r>
              <w:rPr>
                <w:rFonts w:ascii="신명조" w:hAnsi="신명조" w:eastAsia="신명조"/>
                <w:b w:val="0"/>
                <w:i w:val="0"/>
                <w:sz w:val="17"/>
                <w:w w:val="95"/>
                <w:spacing w:val="-8"/>
              </w:rPr>
              <w:t>−177</w:t>
            </w:r>
          </w:p>
        </w:tc>
        <w:tc>
          <w:tcPr>
            <w:tcW w:type="dxa" w:w="2880"/>
          </w:tcPr>
          <w:p>
            <w:pPr>
              <w:spacing w:line="276" w:lineRule="auto"/>
              <w:jc w:val="center"/>
            </w:pPr>
            <w:r>
              <w:rPr>
                <w:rFonts w:ascii="신명조" w:hAnsi="신명조" w:eastAsia="신명조"/>
                <w:b w:val="0"/>
                <w:i w:val="0"/>
                <w:sz w:val="17"/>
                <w:w w:val="95"/>
                <w:spacing w:val="-8"/>
              </w:rPr>
              <w:t>0/5</w:t>
            </w:r>
          </w:p>
        </w:tc>
      </w:tr>
    </w:tbl>
    <w:p>
      <w:pPr>
        <w:spacing w:after="80" w:before="0" w:line="384" w:lineRule="auto"/>
        <w:jc w:val="both"/>
      </w:pPr>
    </w:p>
    <w:p>
      <w:pPr>
        <w:spacing w:after="120" w:before="0" w:line="384" w:lineRule="auto"/>
        <w:jc w:val="both"/>
      </w:pPr>
      <w:r>
        <w:rPr>
          <w:rFonts w:ascii="신명조" w:hAnsi="신명조" w:eastAsia="신명조"/>
          <w:b w:val="0"/>
          <w:i w:val="0"/>
          <w:sz w:val="18"/>
          <w:w w:val="95"/>
          <w:spacing w:val="-9"/>
        </w:rPr>
        <w:t>수동화 해소는 스타일 변화(공격성 증가)이므로, 공격이 통하는 상대(무작위: 큰 회복)와 통하지 않는 상대(콜링스테이션: 베팅에 폴드하지 않으므로 소폭 손해)에서 손익이 갈린다. 따라서 본 효과의 정확한 서술은 "분포 외 일반화"가 아니라 "영-고정점이 만든 수동화 병리의 해소 — 그 병리를 착취하던 상대에 대한 회복"이다. 또한 효과는 단일 상대(TAG) 학습에 한정된다 — 5종 상대 순환/혼합 학습에서는 같은 개입으로 무작위 상대 성능이 회복되지 않았다(−112/−159). 학습 분포 내 성능(vs TAG)은 모든 조건에서 +849~+952로 보존된다.</w:t>
      </w:r>
    </w:p>
    <w:p>
      <w:pPr>
        <w:spacing w:after="80" w:before="120" w:line="312" w:lineRule="auto"/>
        <w:jc w:val="left"/>
      </w:pPr>
      <w:r>
        <w:rPr>
          <w:rFonts w:ascii="신명조" w:hAnsi="신명조" w:eastAsia="신명조"/>
          <w:b/>
          <w:i w:val="0"/>
          <w:sz w:val="20"/>
          <w:w w:val="95"/>
          <w:spacing w:val="-10"/>
        </w:rPr>
        <w:t>5.5 경쟁 처방 비교 — 표준 처방 후보는 병리를 해소하지 못한다</w:t>
      </w:r>
    </w:p>
    <w:p>
      <w:pPr>
        <w:spacing w:after="80" w:before="0" w:line="384" w:lineRule="auto"/>
        <w:jc w:val="both"/>
      </w:pPr>
      <w:r>
        <w:rPr>
          <w:rFonts w:ascii="신명조" w:hAnsi="신명조" w:eastAsia="신명조"/>
          <w:b w:val="0"/>
          <w:i w:val="0"/>
          <w:sz w:val="18"/>
          <w:w w:val="95"/>
          <w:spacing w:val="-9"/>
        </w:rPr>
        <w:t>4장의 이론적 기각(무정보 처방은 고정점을 옮기지 못함)을 동일 조건 통제 비교로 실증하였다(각 학습 seed 5개, 그 외 규약 동일). 비교 대상은 ZCA에 대해 제안될 법한 표준 처방 세 가지다: ① 탐색 강화(softmax 온도 하한 2.0 — "더 탐색하면 배우지 않을까"), ② 낙관적 초기화(전 셀 Q₀=+50 — Proposition 1의 검증), ③ 일률 가산 벌점(전 행동의 credit에서 5칩 차감 — action-penalty[8]류의 비선택적 비용).</w:t>
      </w:r>
    </w:p>
    <w:p>
      <w:pPr>
        <w:spacing w:after="40" w:before="0" w:line="312" w:lineRule="auto"/>
        <w:jc w:val="center"/>
      </w:pPr>
      <w:r>
        <w:rPr>
          <w:rFonts w:ascii="신명조" w:hAnsi="신명조" w:eastAsia="신명조"/>
          <w:b/>
          <w:i w:val="0"/>
          <w:sz w:val="18"/>
          <w:w w:val="95"/>
          <w:spacing w:val="-9"/>
        </w:rPr>
        <w:t>&lt;Table 4&gt; 경쟁 처방 비교 / Rival remedies (mbb/g, 학습 seed 5–6개)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276" w:lineRule="auto"/>
              <w:jc w:val="center"/>
            </w:pPr>
            <w:r>
              <w:rPr>
                <w:rFonts w:ascii="신명조" w:hAnsi="신명조" w:eastAsia="신명조"/>
                <w:b/>
                <w:i w:val="0"/>
                <w:sz w:val="17"/>
                <w:w w:val="95"/>
                <w:spacing w:val="-8"/>
              </w:rPr>
              <w:t>처방</w:t>
            </w:r>
          </w:p>
        </w:tc>
        <w:tc>
          <w:tcPr>
            <w:tcW w:type="dxa" w:w="2160"/>
          </w:tcPr>
          <w:p>
            <w:pPr>
              <w:spacing w:line="276" w:lineRule="auto"/>
              <w:jc w:val="center"/>
            </w:pPr>
            <w:r>
              <w:rPr>
                <w:rFonts w:ascii="신명조" w:hAnsi="신명조" w:eastAsia="신명조"/>
                <w:b/>
                <w:i w:val="0"/>
                <w:sz w:val="17"/>
                <w:w w:val="95"/>
                <w:spacing w:val="-8"/>
              </w:rPr>
              <w:t>vs 무작위</w:t>
            </w:r>
          </w:p>
        </w:tc>
        <w:tc>
          <w:tcPr>
            <w:tcW w:type="dxa" w:w="2160"/>
          </w:tcPr>
          <w:p>
            <w:pPr>
              <w:spacing w:line="276" w:lineRule="auto"/>
              <w:jc w:val="center"/>
            </w:pPr>
            <w:r>
              <w:rPr>
                <w:rFonts w:ascii="신명조" w:hAnsi="신명조" w:eastAsia="신명조"/>
                <w:b/>
                <w:i w:val="0"/>
                <w:sz w:val="17"/>
                <w:w w:val="95"/>
                <w:spacing w:val="-8"/>
              </w:rPr>
              <w:t>양수 seed</w:t>
            </w:r>
          </w:p>
        </w:tc>
        <w:tc>
          <w:tcPr>
            <w:tcW w:type="dxa" w:w="2160"/>
          </w:tcPr>
          <w:p>
            <w:pPr>
              <w:spacing w:line="276" w:lineRule="auto"/>
              <w:jc w:val="center"/>
            </w:pPr>
            <w:r>
              <w:rPr>
                <w:rFonts w:ascii="신명조" w:hAnsi="신명조" w:eastAsia="신명조"/>
                <w:b/>
                <w:i w:val="0"/>
                <w:sz w:val="17"/>
                <w:w w:val="95"/>
                <w:spacing w:val="-8"/>
              </w:rPr>
              <w:t>vs TAG</w:t>
            </w:r>
          </w:p>
        </w:tc>
      </w:tr>
      <w:tr>
        <w:tc>
          <w:tcPr>
            <w:tcW w:type="dxa" w:w="2160"/>
          </w:tcPr>
          <w:p>
            <w:pPr>
              <w:spacing w:line="276" w:lineRule="auto"/>
              <w:jc w:val="center"/>
            </w:pPr>
            <w:r>
              <w:rPr>
                <w:rFonts w:ascii="신명조" w:hAnsi="신명조" w:eastAsia="신명조"/>
                <w:b w:val="0"/>
                <w:i w:val="0"/>
                <w:sz w:val="17"/>
                <w:w w:val="95"/>
                <w:spacing w:val="-8"/>
              </w:rPr>
              <w:t>없음 (기준선)</w:t>
            </w:r>
          </w:p>
        </w:tc>
        <w:tc>
          <w:tcPr>
            <w:tcW w:type="dxa" w:w="2160"/>
          </w:tcPr>
          <w:p>
            <w:pPr>
              <w:spacing w:line="276" w:lineRule="auto"/>
              <w:jc w:val="center"/>
            </w:pPr>
            <w:r>
              <w:rPr>
                <w:rFonts w:ascii="신명조" w:hAnsi="신명조" w:eastAsia="신명조"/>
                <w:b w:val="0"/>
                <w:i w:val="0"/>
                <w:sz w:val="17"/>
                <w:w w:val="95"/>
                <w:spacing w:val="-8"/>
              </w:rPr>
              <w:t>−318±123</w:t>
            </w:r>
          </w:p>
        </w:tc>
        <w:tc>
          <w:tcPr>
            <w:tcW w:type="dxa" w:w="2160"/>
          </w:tcPr>
          <w:p>
            <w:pPr>
              <w:spacing w:line="276" w:lineRule="auto"/>
              <w:jc w:val="center"/>
            </w:pPr>
            <w:r>
              <w:rPr>
                <w:rFonts w:ascii="신명조" w:hAnsi="신명조" w:eastAsia="신명조"/>
                <w:b w:val="0"/>
                <w:i w:val="0"/>
                <w:sz w:val="17"/>
                <w:w w:val="95"/>
                <w:spacing w:val="-8"/>
              </w:rPr>
              <w:t>0/6</w:t>
            </w:r>
          </w:p>
        </w:tc>
        <w:tc>
          <w:tcPr>
            <w:tcW w:type="dxa" w:w="2160"/>
          </w:tcPr>
          <w:p>
            <w:pPr>
              <w:spacing w:line="276" w:lineRule="auto"/>
              <w:jc w:val="center"/>
            </w:pPr>
            <w:r>
              <w:rPr>
                <w:rFonts w:ascii="신명조" w:hAnsi="신명조" w:eastAsia="신명조"/>
                <w:b w:val="0"/>
                <w:i w:val="0"/>
                <w:sz w:val="17"/>
                <w:w w:val="95"/>
                <w:spacing w:val="-8"/>
              </w:rPr>
              <w:t>+866</w:t>
            </w:r>
          </w:p>
        </w:tc>
      </w:tr>
      <w:tr>
        <w:tc>
          <w:tcPr>
            <w:tcW w:type="dxa" w:w="2160"/>
          </w:tcPr>
          <w:p>
            <w:pPr>
              <w:spacing w:line="276" w:lineRule="auto"/>
              <w:jc w:val="center"/>
            </w:pPr>
            <w:r>
              <w:rPr>
                <w:rFonts w:ascii="신명조" w:hAnsi="신명조" w:eastAsia="신명조"/>
                <w:b w:val="0"/>
                <w:i w:val="0"/>
                <w:sz w:val="17"/>
                <w:w w:val="95"/>
                <w:spacing w:val="-8"/>
              </w:rPr>
              <w:t>① 탐색 강화 (온도≥2.0)</w:t>
            </w:r>
          </w:p>
        </w:tc>
        <w:tc>
          <w:tcPr>
            <w:tcW w:type="dxa" w:w="2160"/>
          </w:tcPr>
          <w:p>
            <w:pPr>
              <w:spacing w:line="276" w:lineRule="auto"/>
              <w:jc w:val="center"/>
            </w:pPr>
            <w:r>
              <w:rPr>
                <w:rFonts w:ascii="신명조" w:hAnsi="신명조" w:eastAsia="신명조"/>
                <w:b w:val="0"/>
                <w:i w:val="0"/>
                <w:sz w:val="17"/>
                <w:w w:val="95"/>
                <w:spacing w:val="-8"/>
              </w:rPr>
              <w:t>−291±267</w:t>
            </w:r>
          </w:p>
        </w:tc>
        <w:tc>
          <w:tcPr>
            <w:tcW w:type="dxa" w:w="2160"/>
          </w:tcPr>
          <w:p>
            <w:pPr>
              <w:spacing w:line="276" w:lineRule="auto"/>
              <w:jc w:val="center"/>
            </w:pPr>
            <w:r>
              <w:rPr>
                <w:rFonts w:ascii="신명조" w:hAnsi="신명조" w:eastAsia="신명조"/>
                <w:b w:val="0"/>
                <w:i w:val="0"/>
                <w:sz w:val="17"/>
                <w:w w:val="95"/>
                <w:spacing w:val="-8"/>
              </w:rPr>
              <w:t>1/5</w:t>
            </w:r>
          </w:p>
        </w:tc>
        <w:tc>
          <w:tcPr>
            <w:tcW w:type="dxa" w:w="2160"/>
          </w:tcPr>
          <w:p>
            <w:pPr>
              <w:spacing w:line="276" w:lineRule="auto"/>
              <w:jc w:val="center"/>
            </w:pPr>
            <w:r>
              <w:rPr>
                <w:rFonts w:ascii="신명조" w:hAnsi="신명조" w:eastAsia="신명조"/>
                <w:b w:val="0"/>
                <w:i w:val="0"/>
                <w:sz w:val="17"/>
                <w:w w:val="95"/>
                <w:spacing w:val="-8"/>
              </w:rPr>
              <w:t>+880±25 (보존)</w:t>
            </w:r>
          </w:p>
        </w:tc>
      </w:tr>
      <w:tr>
        <w:tc>
          <w:tcPr>
            <w:tcW w:type="dxa" w:w="2160"/>
          </w:tcPr>
          <w:p>
            <w:pPr>
              <w:spacing w:line="276" w:lineRule="auto"/>
              <w:jc w:val="center"/>
            </w:pPr>
            <w:r>
              <w:rPr>
                <w:rFonts w:ascii="신명조" w:hAnsi="신명조" w:eastAsia="신명조"/>
                <w:b w:val="0"/>
                <w:i w:val="0"/>
                <w:sz w:val="17"/>
                <w:w w:val="95"/>
                <w:spacing w:val="-8"/>
              </w:rPr>
              <w:t>② 낙관적 초기화 (Q₀=50)</w:t>
            </w:r>
          </w:p>
        </w:tc>
        <w:tc>
          <w:tcPr>
            <w:tcW w:type="dxa" w:w="2160"/>
          </w:tcPr>
          <w:p>
            <w:pPr>
              <w:spacing w:line="276" w:lineRule="auto"/>
              <w:jc w:val="center"/>
            </w:pPr>
            <w:r>
              <w:rPr>
                <w:rFonts w:ascii="신명조" w:hAnsi="신명조" w:eastAsia="신명조"/>
                <w:b w:val="0"/>
                <w:i w:val="0"/>
                <w:sz w:val="17"/>
                <w:w w:val="95"/>
                <w:spacing w:val="-8"/>
              </w:rPr>
              <w:t>−241±302</w:t>
            </w:r>
          </w:p>
        </w:tc>
        <w:tc>
          <w:tcPr>
            <w:tcW w:type="dxa" w:w="2160"/>
          </w:tcPr>
          <w:p>
            <w:pPr>
              <w:spacing w:line="276" w:lineRule="auto"/>
              <w:jc w:val="center"/>
            </w:pPr>
            <w:r>
              <w:rPr>
                <w:rFonts w:ascii="신명조" w:hAnsi="신명조" w:eastAsia="신명조"/>
                <w:b w:val="0"/>
                <w:i w:val="0"/>
                <w:sz w:val="17"/>
                <w:w w:val="95"/>
                <w:spacing w:val="-8"/>
              </w:rPr>
              <w:t>1/5</w:t>
            </w:r>
          </w:p>
        </w:tc>
        <w:tc>
          <w:tcPr>
            <w:tcW w:type="dxa" w:w="2160"/>
          </w:tcPr>
          <w:p>
            <w:pPr>
              <w:spacing w:line="276" w:lineRule="auto"/>
              <w:jc w:val="center"/>
            </w:pPr>
            <w:r>
              <w:rPr>
                <w:rFonts w:ascii="신명조" w:hAnsi="신명조" w:eastAsia="신명조"/>
                <w:b w:val="0"/>
                <w:i w:val="0"/>
                <w:sz w:val="17"/>
                <w:w w:val="95"/>
                <w:spacing w:val="-8"/>
              </w:rPr>
              <w:t>+184±43 (훼손)</w:t>
            </w:r>
          </w:p>
        </w:tc>
      </w:tr>
      <w:tr>
        <w:tc>
          <w:tcPr>
            <w:tcW w:type="dxa" w:w="2160"/>
          </w:tcPr>
          <w:p>
            <w:pPr>
              <w:spacing w:line="276" w:lineRule="auto"/>
              <w:jc w:val="center"/>
            </w:pPr>
            <w:r>
              <w:rPr>
                <w:rFonts w:ascii="신명조" w:hAnsi="신명조" w:eastAsia="신명조"/>
                <w:b w:val="0"/>
                <w:i w:val="0"/>
                <w:sz w:val="17"/>
                <w:w w:val="95"/>
                <w:spacing w:val="-8"/>
              </w:rPr>
              <w:t>③ 일률 벌점 (전 행동 −5칩)</w:t>
            </w:r>
          </w:p>
        </w:tc>
        <w:tc>
          <w:tcPr>
            <w:tcW w:type="dxa" w:w="2160"/>
          </w:tcPr>
          <w:p>
            <w:pPr>
              <w:spacing w:line="276" w:lineRule="auto"/>
              <w:jc w:val="center"/>
            </w:pPr>
            <w:r>
              <w:rPr>
                <w:rFonts w:ascii="신명조" w:hAnsi="신명조" w:eastAsia="신명조"/>
                <w:b w:val="0"/>
                <w:i w:val="0"/>
                <w:sz w:val="17"/>
                <w:w w:val="95"/>
                <w:spacing w:val="-8"/>
              </w:rPr>
              <w:t>−485±32</w:t>
            </w:r>
          </w:p>
        </w:tc>
        <w:tc>
          <w:tcPr>
            <w:tcW w:type="dxa" w:w="2160"/>
          </w:tcPr>
          <w:p>
            <w:pPr>
              <w:spacing w:line="276" w:lineRule="auto"/>
              <w:jc w:val="center"/>
            </w:pPr>
            <w:r>
              <w:rPr>
                <w:rFonts w:ascii="신명조" w:hAnsi="신명조" w:eastAsia="신명조"/>
                <w:b w:val="0"/>
                <w:i w:val="0"/>
                <w:sz w:val="17"/>
                <w:w w:val="95"/>
                <w:spacing w:val="-8"/>
              </w:rPr>
              <w:t>0/5</w:t>
            </w:r>
          </w:p>
        </w:tc>
        <w:tc>
          <w:tcPr>
            <w:tcW w:type="dxa" w:w="2160"/>
          </w:tcPr>
          <w:p>
            <w:pPr>
              <w:spacing w:line="276" w:lineRule="auto"/>
              <w:jc w:val="center"/>
            </w:pPr>
            <w:r>
              <w:rPr>
                <w:rFonts w:ascii="신명조" w:hAnsi="신명조" w:eastAsia="신명조"/>
                <w:b w:val="0"/>
                <w:i w:val="0"/>
                <w:sz w:val="17"/>
                <w:w w:val="95"/>
                <w:spacing w:val="-8"/>
              </w:rPr>
              <w:t>+119±34 (훼손)</w:t>
            </w:r>
          </w:p>
        </w:tc>
      </w:tr>
      <w:tr>
        <w:tc>
          <w:tcPr>
            <w:tcW w:type="dxa" w:w="2160"/>
          </w:tcPr>
          <w:p>
            <w:pPr>
              <w:spacing w:line="276" w:lineRule="auto"/>
              <w:jc w:val="center"/>
            </w:pPr>
            <w:r>
              <w:rPr>
                <w:rFonts w:ascii="신명조" w:hAnsi="신명조" w:eastAsia="신명조"/>
                <w:b w:val="0"/>
                <w:i w:val="0"/>
                <w:sz w:val="17"/>
                <w:w w:val="95"/>
                <w:spacing w:val="-8"/>
              </w:rPr>
              <w:t>선택적 가상비용 (CHECK만 5칩)</w:t>
            </w:r>
          </w:p>
        </w:tc>
        <w:tc>
          <w:tcPr>
            <w:tcW w:type="dxa" w:w="2160"/>
          </w:tcPr>
          <w:p>
            <w:pPr>
              <w:spacing w:line="276" w:lineRule="auto"/>
              <w:jc w:val="center"/>
            </w:pPr>
            <w:r>
              <w:rPr>
                <w:rFonts w:ascii="신명조" w:hAnsi="신명조" w:eastAsia="신명조"/>
                <w:b w:val="0"/>
                <w:i w:val="0"/>
                <w:sz w:val="17"/>
                <w:w w:val="95"/>
                <w:spacing w:val="-8"/>
              </w:rPr>
              <w:t>+1230±693²</w:t>
            </w:r>
          </w:p>
        </w:tc>
        <w:tc>
          <w:tcPr>
            <w:tcW w:type="dxa" w:w="2160"/>
          </w:tcPr>
          <w:p>
            <w:pPr>
              <w:spacing w:line="276" w:lineRule="auto"/>
              <w:jc w:val="center"/>
            </w:pPr>
            <w:r>
              <w:rPr>
                <w:rFonts w:ascii="신명조" w:hAnsi="신명조" w:eastAsia="신명조"/>
                <w:b w:val="0"/>
                <w:i w:val="0"/>
                <w:sz w:val="17"/>
                <w:w w:val="95"/>
                <w:spacing w:val="-8"/>
              </w:rPr>
              <w:t>5/5</w:t>
            </w:r>
          </w:p>
        </w:tc>
        <w:tc>
          <w:tcPr>
            <w:tcW w:type="dxa" w:w="2160"/>
          </w:tcPr>
          <w:p>
            <w:pPr>
              <w:spacing w:line="276" w:lineRule="auto"/>
              <w:jc w:val="center"/>
            </w:pPr>
            <w:r>
              <w:rPr>
                <w:rFonts w:ascii="신명조" w:hAnsi="신명조" w:eastAsia="신명조"/>
                <w:b w:val="0"/>
                <w:i w:val="0"/>
                <w:sz w:val="17"/>
                <w:w w:val="95"/>
                <w:spacing w:val="-8"/>
              </w:rPr>
              <w:t>+909±50 (보존)</w:t>
            </w:r>
          </w:p>
        </w:tc>
      </w:tr>
    </w:tbl>
    <w:p>
      <w:pPr>
        <w:spacing w:after="80" w:before="0" w:line="384" w:lineRule="auto"/>
        <w:jc w:val="both"/>
      </w:pPr>
    </w:p>
    <w:p>
      <w:pPr>
        <w:spacing w:after="80" w:before="0" w:line="384" w:lineRule="auto"/>
        <w:jc w:val="both"/>
      </w:pPr>
      <w:r>
        <w:rPr>
          <w:rFonts w:ascii="신명조" w:hAnsi="신명조" w:eastAsia="신명조"/>
          <w:b w:val="0"/>
          <w:i w:val="0"/>
          <w:sz w:val="18"/>
          <w:w w:val="95"/>
          <w:spacing w:val="-9"/>
        </w:rPr>
        <w:t>² 5칩은 (i) ③ 일률 벌점과 크기를 일치시켜 선택성만을 분리하고, (ii) 임계를 넘는 최소 유효 용량이라는 보수적 대표값이다. 더 높은 수치의 조건(체크시점 팟 30% +1546±535·6/6, 상수 20칩 +1659±825·5/5)으로 바꿔도 결론은 불변하며, 조건 간 순위는 표준편차 중첩으로 주장하지 않는다(&lt;Table 2&gt;).</w:t>
      </w:r>
    </w:p>
    <w:p>
      <w:pPr>
        <w:spacing w:after="120" w:before="0" w:line="384" w:lineRule="auto"/>
        <w:jc w:val="both"/>
      </w:pPr>
      <w:r>
        <w:rPr>
          <w:rFonts w:ascii="신명조" w:hAnsi="신명조" w:eastAsia="신명조"/>
          <w:b w:val="0"/>
          <w:i w:val="0"/>
          <w:sz w:val="18"/>
          <w:w w:val="95"/>
          <w:spacing w:val="-9"/>
        </w:rPr>
        <w:t>①은 예측대로 무효다 — 방문이 늘수록 0으로 재고정되므로 탐색량은 고정점을 바꾸지 못한다(학습 분포 내 성능은 보존). ②는 회복 실패에 더해 학습 분포 내 성능까지 훼손했다 — 낙관값이 전 셀에서 씻겨 내려가는 데 학습 예산이 소모된다(Proposition 1의 일시성이 유한 예산에서는 비용이 됨). ③은 이론 예측(순위 불변 → 기준선과 동일)보다 나빴다: 고정점의 순위는 불변이나, 벌점이 방문한 셀만 −5칩 이동시켜 미방문 셀의 0-초기값과 상대 격차를 만들고(의도치 않은 상대적 낙관 초기화), 유한 예산 학습을 양 지표 모두에서 훼손했다 — 이 예측 편차 자체를 부정적 결과로 함께 보고한다. 다섯 조건 중 양 지표를 지키며 병리를 해소한 것은 선택적 임계 가상비용뿐이며, 특히 ③과의 대비는 처방의 본질이 "비용 부여" 일반이 아니라 비용 0 행동에 대한 선택성임을 분리 실증한다.</w:t>
      </w:r>
    </w:p>
    <w:p>
      <w:pPr>
        <w:spacing w:after="240" w:before="120" w:line="312" w:lineRule="auto"/>
        <w:jc w:val="center"/>
      </w:pPr>
      <w:r>
        <w:rPr>
          <w:rFonts w:ascii="신명조" w:hAnsi="신명조" w:eastAsia="신명조"/>
          <w:b/>
          <w:i w:val="0"/>
          <w:sz w:val="24"/>
          <w:w w:val="95"/>
          <w:spacing w:val="-12"/>
        </w:rPr>
        <w:t>6. 방법론적 부정적 결과와 한계 (정직)</w:t>
      </w:r>
    </w:p>
    <w:p>
      <w:pPr>
        <w:spacing w:after="80" w:before="0" w:line="384" w:lineRule="auto"/>
        <w:jc w:val="both"/>
      </w:pPr>
      <w:r>
        <w:rPr>
          <w:rFonts w:ascii="신명조" w:hAnsi="신명조" w:eastAsia="신명조"/>
          <w:b w:val="0"/>
          <w:i w:val="0"/>
          <w:sz w:val="18"/>
          <w:w w:val="95"/>
          <w:spacing w:val="-9"/>
        </w:rPr>
        <w:t>(1) credit 폴백 인공물의 발견과 정정. 초기 구현은 총투자 0인 핸드(전부 체크/폴드)에서 비례 분배가 미정의라 균등분배(payoff/n)로 폴백했고, 이 누수가 비용 0 행동에 비(非)비례 credit을 흘렸다. 단일 학습 seed(42)와 결합해 "1칩 가상비용이 분포 외 일반화의 필요조건"이라는 허위 신호를 만들었으며, 폴백 격리런(원본 수치 완전 재현)과 제거 재실행(효과 소멸)으로 인공물임을 확정하고 폐기하였다 — 단일 seed 오도 위험[10][11][12]의 실제 사례. 본 논문의 모든 수치는 폴백 제거 후의 것이며, 나아가 개입을 실투자 핸드에만 적용하는 격리 실험으로 5장의 회복이 폴백 유사 신호가 아니라 CHECK credit 경로임을 확인했다(실투자-한정 +1245(5/5) ≈ 전체 적용 +1546; 폴백-신호-한정 +206·고분산).</w:t>
      </w:r>
    </w:p>
    <w:p>
      <w:pPr>
        <w:spacing w:after="120" w:before="0" w:line="384" w:lineRule="auto"/>
        <w:jc w:val="both"/>
      </w:pPr>
      <w:r>
        <w:rPr>
          <w:rFonts w:ascii="신명조" w:hAnsi="신명조" w:eastAsia="신명조"/>
          <w:b w:val="0"/>
          <w:i w:val="0"/>
          <w:sz w:val="18"/>
          <w:w w:val="95"/>
          <w:spacing w:val="-9"/>
        </w:rPr>
        <w:t>(2) 한계. ① 임계의 정확한 위치는 미확정 — 전이구간(팟 8~15%·상수 1칩 부근)은 seed 요동이 크며(1칩 6-seed 평균 −117·2/6 양수), "충분 초과 시 전 seed 유효"라는 임계의 존재만 주장한다. ② 효과의 범위는 단일 상대 학습·단일 게임(HUNL)·단일 추상화에 한정된다. ③ 홀드아웃 상대도 자작 룰 정책이며 외부·균형 상대(예: 근사 GTO)에 대한 검증은 향후 과제다. ④ ZCA의 부품(null-player 공리·return-equivalence·낙관적 초기화·PBRS≡Q-init)은 기지이며, 기여는 이들을 실패 모드로 재진단하고 임계를 유도·실증하며 범위를 정직히 규정한 데 있다.</w:t>
      </w:r>
    </w:p>
    <w:p>
      <w:pPr>
        <w:spacing w:after="240" w:before="120" w:line="312" w:lineRule="auto"/>
        <w:jc w:val="center"/>
      </w:pPr>
      <w:r>
        <w:rPr>
          <w:rFonts w:ascii="신명조" w:hAnsi="신명조" w:eastAsia="신명조"/>
          <w:b/>
          <w:i w:val="0"/>
          <w:sz w:val="24"/>
          <w:w w:val="95"/>
          <w:spacing w:val="-12"/>
        </w:rPr>
        <w:t>7. 결론 및 향후 연구</w:t>
      </w:r>
    </w:p>
    <w:p>
      <w:pPr>
        <w:spacing w:after="80" w:before="0" w:line="384" w:lineRule="auto"/>
        <w:jc w:val="both"/>
      </w:pPr>
      <w:r>
        <w:rPr>
          <w:rFonts w:ascii="신명조" w:hAnsi="신명조" w:eastAsia="신명조"/>
          <w:b w:val="0"/>
          <w:i w:val="0"/>
          <w:sz w:val="18"/>
          <w:w w:val="95"/>
          <w:spacing w:val="-9"/>
        </w:rPr>
        <w:t>비례배분 기여도는 비용 0 행동에 구조적 영-고정점(ZCA)을 남기고, 이는 행동 순위를 양방향으로 왜곡하며(흡수·은폐), 낙관적 초기화의 일시적 0-선호와 달리 방문으로 해소되지 않는다 — 이상을 toy MDP에서 증명하고 실제 2,048-셀 에이전트에서 Q(CHECK)=0의 정확한 붕괴와 그 결과인 정책 수동화(턴 체크 65%)로 실측하였다. 유도한 임계 조건의 예측은 단조 용량-반응으로 확인되었다: 무개입은 전 seed 음수(0/6), 1칩은 부호가 요동하는 전이구간(2/6), 상수 5칩 이상이면 수동화가 풀리고(턴 소액 베팅 65%) 병리를 착취하던 미학습 상대에 대한 성능이 학습 seed 전반에서 회복된다(5/5·6/6 양수). 확인된 것은 임계의 존재이며 위치의 예측이 아니다(6장 한계 ①). 사후정보·구현 인공물·평가 순환성 가설은 각각 결정시점 상수 비용, 격리 실험, 사전 고정 홀드아웃으로 배제하였고, "표준 MC를 쓰면 된다"는 대안은 동일 예산 3자 비교(양 지표 열세)로 기각하였다. 동시에 이 회복이 일반화가 아니라 상대 의존적 스타일 변화임을 — 콜링스테이션 상대의 소폭 손해까지 — 정직하게 보고하였다. 본 사례연구의 가치는, 구조적 기여도 배분의 병리를 증명·측정하고, 처방의 작동 조건(임계)을 이론-실험 대응으로 규명하며, 그 한계를 부정적 결과와 함께 드러낸 데 있다.</w:t>
      </w:r>
    </w:p>
    <w:p>
      <w:pPr>
        <w:spacing w:after="160" w:before="0" w:line="384" w:lineRule="auto"/>
        <w:jc w:val="both"/>
      </w:pPr>
      <w:r>
        <w:rPr>
          <w:rFonts w:ascii="신명조" w:hAnsi="신명조" w:eastAsia="신명조"/>
          <w:b w:val="0"/>
          <w:i w:val="0"/>
          <w:sz w:val="18"/>
          <w:w w:val="95"/>
          <w:spacing w:val="-9"/>
        </w:rPr>
        <w:t>향후 연구. ZCA의 발생 조건은 게임 특수적이지 않다 — ① 성과가 말단에 한 번 실현되고, ② 행동이 성과와 같은 단위의 자원 투입이며, ③ 투입 0 행동이 존재하는 순차 결정 환경이면 계열 정리(Lemma 3)가 동일 병리의 발생을 예측한다. 이 세 조건은 예컨대 V2G 충·방전 스케줄링(대기 행동의 투입 0, 청구 주기 말 요금)과 에너지 하베스팅 IoT 전송 스케줄링(sleep 행동의 투입 0, 보고 주기 말 효용)에서 성립한다. 두 환경에서의 검증 — 특히 요금 구조가 균질한 V2G에서의 임계 위치 사전 계산, sleep의 대기전력이라는 실재 비용에 의한 가상비용의 물리적 해석 — 을 후속 연구로 진행한다.</w:t>
      </w:r>
    </w:p>
    <w:p>
      <w:pPr>
        <w:sectPr>
          <w:type w:val="continuous"/>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5040000" cy="2214545"/>
            <wp:docPr id="1" name="Picture 1"/>
            <wp:cNvGraphicFramePr>
              <a:graphicFrameLocks noChangeAspect="1"/>
            </wp:cNvGraphicFramePr>
            <a:graphic>
              <a:graphicData uri="http://schemas.openxmlformats.org/drawingml/2006/picture">
                <pic:pic>
                  <pic:nvPicPr>
                    <pic:cNvPr id="0" name="fig1_dose_response.png"/>
                    <pic:cNvPicPr/>
                  </pic:nvPicPr>
                  <pic:blipFill>
                    <a:blip r:embed="rId9"/>
                    <a:stretch>
                      <a:fillRect/>
                    </a:stretch>
                  </pic:blipFill>
                  <pic:spPr>
                    <a:xfrm>
                      <a:off x="0" y="0"/>
                      <a:ext cx="5040000" cy="2214545"/>
                    </a:xfrm>
                    <a:prstGeom prst="rect"/>
                  </pic:spPr>
                </pic:pic>
              </a:graphicData>
            </a:graphic>
          </wp:inline>
        </w:drawing>
      </w:r>
    </w:p>
    <w:p>
      <w:pPr>
        <w:spacing w:after="160" w:before="0" w:line="312" w:lineRule="auto"/>
        <w:jc w:val="center"/>
      </w:pPr>
      <w:r>
        <w:rPr>
          <w:rFonts w:ascii="신명조" w:hAnsi="신명조" w:eastAsia="신명조"/>
          <w:b w:val="0"/>
          <w:i w:val="0"/>
          <w:sz w:val="17"/>
          <w:w w:val="95"/>
          <w:spacing w:val="-8"/>
        </w:rPr>
        <w:t>&lt;Figure 1&gt; Performance vs. virtual-cost magnitude (per-seed dots, mean±SD)</w:t>
      </w:r>
    </w:p>
    <w:p>
      <w:pPr>
        <w:jc w:val="center"/>
      </w:pPr>
      <w:r>
        <w:drawing>
          <wp:inline xmlns:a="http://schemas.openxmlformats.org/drawingml/2006/main" xmlns:pic="http://schemas.openxmlformats.org/drawingml/2006/picture">
            <wp:extent cx="5040000" cy="2290909"/>
            <wp:docPr id="2" name="Picture 2"/>
            <wp:cNvGraphicFramePr>
              <a:graphicFrameLocks noChangeAspect="1"/>
            </wp:cNvGraphicFramePr>
            <a:graphic>
              <a:graphicData uri="http://schemas.openxmlformats.org/drawingml/2006/picture">
                <pic:pic>
                  <pic:nvPicPr>
                    <pic:cNvPr id="0" name="fig2_learning_curves.png"/>
                    <pic:cNvPicPr/>
                  </pic:nvPicPr>
                  <pic:blipFill>
                    <a:blip r:embed="rId10"/>
                    <a:stretch>
                      <a:fillRect/>
                    </a:stretch>
                  </pic:blipFill>
                  <pic:spPr>
                    <a:xfrm>
                      <a:off x="0" y="0"/>
                      <a:ext cx="5040000" cy="2290909"/>
                    </a:xfrm>
                    <a:prstGeom prst="rect"/>
                  </pic:spPr>
                </pic:pic>
              </a:graphicData>
            </a:graphic>
          </wp:inline>
        </w:drawing>
      </w:r>
    </w:p>
    <w:p>
      <w:pPr>
        <w:spacing w:after="160" w:before="0" w:line="312" w:lineRule="auto"/>
        <w:jc w:val="center"/>
      </w:pPr>
      <w:r>
        <w:rPr>
          <w:rFonts w:ascii="신명조" w:hAnsi="신명조" w:eastAsia="신명조"/>
          <w:b w:val="0"/>
          <w:i w:val="0"/>
          <w:sz w:val="17"/>
          <w:w w:val="95"/>
          <w:spacing w:val="-8"/>
        </w:rPr>
        <w:t>&lt;Figure 2&gt; Learning curves vs. training opponent (5-seed mean; standard MC collapses late)</w:t>
      </w:r>
    </w:p>
    <w:p>
      <w:pPr>
        <w:jc w:val="center"/>
      </w:pPr>
      <w:r>
        <w:drawing>
          <wp:inline xmlns:a="http://schemas.openxmlformats.org/drawingml/2006/main" xmlns:pic="http://schemas.openxmlformats.org/drawingml/2006/picture">
            <wp:extent cx="5040000" cy="2613333"/>
            <wp:docPr id="3" name="Picture 3"/>
            <wp:cNvGraphicFramePr>
              <a:graphicFrameLocks noChangeAspect="1"/>
            </wp:cNvGraphicFramePr>
            <a:graphic>
              <a:graphicData uri="http://schemas.openxmlformats.org/drawingml/2006/picture">
                <pic:pic>
                  <pic:nvPicPr>
                    <pic:cNvPr id="0" name="fig3_turn_behavior.png"/>
                    <pic:cNvPicPr/>
                  </pic:nvPicPr>
                  <pic:blipFill>
                    <a:blip r:embed="rId11"/>
                    <a:stretch>
                      <a:fillRect/>
                    </a:stretch>
                  </pic:blipFill>
                  <pic:spPr>
                    <a:xfrm>
                      <a:off x="0" y="0"/>
                      <a:ext cx="5040000" cy="2613333"/>
                    </a:xfrm>
                    <a:prstGeom prst="rect"/>
                  </pic:spPr>
                </pic:pic>
              </a:graphicData>
            </a:graphic>
          </wp:inline>
        </w:drawing>
      </w:r>
    </w:p>
    <w:p>
      <w:pPr>
        <w:spacing w:after="160" w:before="0" w:line="312" w:lineRule="auto"/>
        <w:jc w:val="center"/>
      </w:pPr>
      <w:r>
        <w:rPr>
          <w:rFonts w:ascii="신명조" w:hAnsi="신명조" w:eastAsia="신명조"/>
          <w:b w:val="0"/>
          <w:i w:val="0"/>
          <w:sz w:val="17"/>
          <w:w w:val="95"/>
          <w:spacing w:val="-8"/>
        </w:rPr>
        <w:t>&lt;Figure 3&gt; Turn action distribution: passivity (65% check) flips to small bets under threshold cost</w:t>
      </w:r>
    </w:p>
    <w:p>
      <w:pPr>
        <w:sectPr>
          <w:type w:val="continuous"/>
          <w:pgSz w:w="12240" w:h="15840"/>
          <w:pgMar w:top="1440" w:right="1800" w:bottom="1440" w:left="1800" w:header="720" w:footer="720" w:gutter="0"/>
          <w:cols w:space="720"/>
          <w:docGrid w:linePitch="360"/>
        </w:sectPr>
      </w:pPr>
    </w:p>
    <w:p>
      <w:pPr>
        <w:spacing w:after="120" w:before="0" w:line="312" w:lineRule="auto"/>
        <w:jc w:val="center"/>
      </w:pPr>
      <w:r>
        <w:rPr>
          <w:rFonts w:ascii="신명조" w:hAnsi="신명조" w:eastAsia="신명조"/>
          <w:b/>
          <w:i w:val="0"/>
          <w:sz w:val="24"/>
          <w:w w:val="95"/>
          <w:spacing w:val="-12"/>
        </w:rPr>
        <w:t>참고문헌</w:t>
      </w:r>
    </w:p>
    <w:p>
      <w:pPr>
        <w:spacing w:after="40" w:before="0" w:line="312" w:lineRule="auto"/>
        <w:ind w:left="320" w:hanging="320"/>
        <w:jc w:val="both"/>
      </w:pPr>
      <w:r>
        <w:rPr>
          <w:rFonts w:ascii="신명조" w:hAnsi="신명조" w:eastAsia="신명조"/>
          <w:b w:val="0"/>
          <w:i w:val="0"/>
          <w:sz w:val="18"/>
          <w:w w:val="95"/>
          <w:spacing w:val="-9"/>
        </w:rPr>
        <w:t>[1] D. H. Wolpert and K. Tumer, "Optimal payoff functions for members of collectives," Advances in Complex Systems, Vol. 4, No. 2/3, pp. 265-279, 2001.</w:t>
      </w:r>
    </w:p>
    <w:p>
      <w:pPr>
        <w:spacing w:after="40" w:before="0" w:line="312" w:lineRule="auto"/>
        <w:ind w:left="320" w:hanging="320"/>
        <w:jc w:val="both"/>
      </w:pPr>
      <w:r>
        <w:rPr>
          <w:rFonts w:ascii="신명조" w:hAnsi="신명조" w:eastAsia="신명조"/>
          <w:b w:val="0"/>
          <w:i w:val="0"/>
          <w:sz w:val="18"/>
          <w:w w:val="95"/>
          <w:spacing w:val="-9"/>
        </w:rPr>
        <w:t>[2] J. Foerster, G. Farquhar, T. Afouras, N. Nardelli, and S. Whiteson, "Counterfactual multi-agent policy gradients," Proc. AAAI Conf. on Artificial Intelligence, pp. 2974-2982, 2018.</w:t>
      </w:r>
    </w:p>
    <w:p>
      <w:pPr>
        <w:spacing w:after="40" w:before="0" w:line="312" w:lineRule="auto"/>
        <w:ind w:left="320" w:hanging="320"/>
        <w:jc w:val="both"/>
      </w:pPr>
      <w:r>
        <w:rPr>
          <w:rFonts w:ascii="신명조" w:hAnsi="신명조" w:eastAsia="신명조"/>
          <w:b w:val="0"/>
          <w:i w:val="0"/>
          <w:sz w:val="18"/>
          <w:w w:val="95"/>
          <w:spacing w:val="-9"/>
        </w:rPr>
        <w:t>[3] L. S. Shapley, "A value for n-person games," Contributions to the Theory of Games II, Princeton Univ. Press, pp. 307-317, 1953.</w:t>
      </w:r>
    </w:p>
    <w:p>
      <w:pPr>
        <w:spacing w:after="40" w:before="0" w:line="312" w:lineRule="auto"/>
        <w:ind w:left="320" w:hanging="320"/>
        <w:jc w:val="both"/>
      </w:pPr>
      <w:r>
        <w:rPr>
          <w:rFonts w:ascii="신명조" w:hAnsi="신명조" w:eastAsia="신명조"/>
          <w:b w:val="0"/>
          <w:i w:val="0"/>
          <w:sz w:val="18"/>
          <w:w w:val="95"/>
          <w:spacing w:val="-9"/>
        </w:rPr>
        <w:t>[4] J. Wang, Y. Zhang, T.-K. Kim, and Y. Gu, "Shapley Q-value: A local reward approach to solve global reward games," Proc. AAAI Conf. on Artificial Intelligence, pp. 7285-7292, 2020.</w:t>
      </w:r>
    </w:p>
    <w:p>
      <w:pPr>
        <w:spacing w:after="40" w:before="0" w:line="312" w:lineRule="auto"/>
        <w:ind w:left="320" w:hanging="320"/>
        <w:jc w:val="both"/>
      </w:pPr>
      <w:r>
        <w:rPr>
          <w:rFonts w:ascii="신명조" w:hAnsi="신명조" w:eastAsia="신명조"/>
          <w:b w:val="0"/>
          <w:i w:val="0"/>
          <w:sz w:val="18"/>
          <w:w w:val="95"/>
          <w:spacing w:val="-9"/>
        </w:rPr>
        <w:t>[5] J. A. Arjona-Medina, M. Gillhofer, M. Widrich, T. Unterthiner, J. Brandstetter, and S. Hochreiter, "RUDDER: Return decomposition for delayed rewards," Advances in Neural Information Processing Systems, pp. 13544-13555, 2019.</w:t>
      </w:r>
    </w:p>
    <w:p>
      <w:pPr>
        <w:spacing w:after="40" w:before="0" w:line="312" w:lineRule="auto"/>
        <w:ind w:left="320" w:hanging="320"/>
        <w:jc w:val="both"/>
      </w:pPr>
      <w:r>
        <w:rPr>
          <w:rFonts w:ascii="신명조" w:hAnsi="신명조" w:eastAsia="신명조"/>
          <w:b w:val="0"/>
          <w:i w:val="0"/>
          <w:sz w:val="18"/>
          <w:w w:val="95"/>
          <w:spacing w:val="-9"/>
        </w:rPr>
        <w:t>[6] A. Y. Ng, D. Harada, and S. Russell, "Policy invariance under reward transformations: Theory and application to reward shaping," Proc. Int. Conf. on Machine Learning, pp. 278-287, 1999.</w:t>
      </w:r>
    </w:p>
    <w:p>
      <w:pPr>
        <w:spacing w:after="40" w:before="0" w:line="312" w:lineRule="auto"/>
        <w:ind w:left="320" w:hanging="320"/>
        <w:jc w:val="both"/>
      </w:pPr>
      <w:r>
        <w:rPr>
          <w:rFonts w:ascii="신명조" w:hAnsi="신명조" w:eastAsia="신명조"/>
          <w:b w:val="0"/>
          <w:i w:val="0"/>
          <w:sz w:val="18"/>
          <w:w w:val="95"/>
          <w:spacing w:val="-9"/>
        </w:rPr>
        <w:t>[7] E. Wiewiora, "Potential-based shaping and Q-value initialization are equivalent," Journal of Artificial Intelligence Research, Vol. 19, pp. 205-208, 2003.</w:t>
      </w:r>
    </w:p>
    <w:p>
      <w:pPr>
        <w:spacing w:after="40" w:before="0" w:line="312" w:lineRule="auto"/>
        <w:ind w:left="320" w:hanging="320"/>
        <w:jc w:val="both"/>
      </w:pPr>
      <w:r>
        <w:rPr>
          <w:rFonts w:ascii="신명조" w:hAnsi="신명조" w:eastAsia="신명조"/>
          <w:b w:val="0"/>
          <w:i w:val="0"/>
          <w:sz w:val="18"/>
          <w:w w:val="95"/>
          <w:spacing w:val="-9"/>
        </w:rPr>
        <w:t>[8] S. Koenig and R. G. Simmons, "The effect of representation and knowledge on goal-directed exploration with reinforcement-learning algorithms," Machine Learning, Vol. 22, pp. 227-250, 1996.</w:t>
      </w:r>
    </w:p>
    <w:p>
      <w:pPr>
        <w:spacing w:after="40" w:before="0" w:line="312" w:lineRule="auto"/>
        <w:ind w:left="320" w:hanging="320"/>
        <w:jc w:val="both"/>
      </w:pPr>
      <w:r>
        <w:rPr>
          <w:rFonts w:ascii="신명조" w:hAnsi="신명조" w:eastAsia="신명조"/>
          <w:b w:val="0"/>
          <w:i w:val="0"/>
          <w:sz w:val="18"/>
          <w:w w:val="95"/>
          <w:spacing w:val="-9"/>
        </w:rPr>
        <w:t>[9] T. Rashid, B. Peng, W. Boehmer, and S. Whiteson, "Optimistic exploration even with a pessimistic initialisation," Proc. Int. Conf. on Learning Representations, 2020.</w:t>
      </w:r>
    </w:p>
    <w:p>
      <w:pPr>
        <w:spacing w:after="40" w:before="0" w:line="312" w:lineRule="auto"/>
        <w:ind w:left="320" w:hanging="320"/>
        <w:jc w:val="both"/>
      </w:pPr>
      <w:r>
        <w:rPr>
          <w:rFonts w:ascii="신명조" w:hAnsi="신명조" w:eastAsia="신명조"/>
          <w:b w:val="0"/>
          <w:i w:val="0"/>
          <w:sz w:val="18"/>
          <w:w w:val="95"/>
          <w:spacing w:val="-9"/>
        </w:rPr>
        <w:t>[10] P. Henderson, R. Islam, P. Bachman, J. Pineau, D. Precup, and D. Meger, "Deep reinforcement learning that matters," Proc. AAAI Conf. on Artificial Intelligence, pp. 3207-3214, 2018.</w:t>
      </w:r>
    </w:p>
    <w:p>
      <w:pPr>
        <w:spacing w:after="40" w:before="0" w:line="312" w:lineRule="auto"/>
        <w:ind w:left="320" w:hanging="320"/>
        <w:jc w:val="both"/>
      </w:pPr>
      <w:r>
        <w:rPr>
          <w:rFonts w:ascii="신명조" w:hAnsi="신명조" w:eastAsia="신명조"/>
          <w:b w:val="0"/>
          <w:i w:val="0"/>
          <w:sz w:val="18"/>
          <w:w w:val="95"/>
          <w:spacing w:val="-9"/>
        </w:rPr>
        <w:t>[11] C. Colas, O. Sigaud, and P.-Y. Oudeyer, "How many random seeds? Statistical power analysis in deep reinforcement learning experiments," arXiv:1806.08295, 2018.</w:t>
      </w:r>
    </w:p>
    <w:p>
      <w:pPr>
        <w:spacing w:after="40" w:before="0" w:line="312" w:lineRule="auto"/>
        <w:ind w:left="320" w:hanging="320"/>
        <w:jc w:val="both"/>
      </w:pPr>
      <w:r>
        <w:rPr>
          <w:rFonts w:ascii="신명조" w:hAnsi="신명조" w:eastAsia="신명조"/>
          <w:b w:val="0"/>
          <w:i w:val="0"/>
          <w:sz w:val="18"/>
          <w:w w:val="95"/>
          <w:spacing w:val="-9"/>
        </w:rPr>
        <w:t>[12] R. Agarwal, M. Schwarzer, P. S. Castro, A. C. Courville, and M. G. Bellemare, "Deep reinforcement learning at the edge of the statistical precipice," Advances in Neural Information Processing Systems, pp. 29304-29320, 2021.</w:t>
      </w:r>
    </w:p>
    <w:p>
      <w:pPr>
        <w:spacing w:after="40" w:before="0" w:line="312" w:lineRule="auto"/>
        <w:ind w:left="320" w:hanging="320"/>
        <w:jc w:val="both"/>
      </w:pPr>
      <w:r>
        <w:rPr>
          <w:rFonts w:ascii="신명조" w:hAnsi="신명조" w:eastAsia="신명조"/>
          <w:b w:val="0"/>
          <w:i w:val="0"/>
          <w:sz w:val="18"/>
          <w:w w:val="95"/>
          <w:spacing w:val="-9"/>
        </w:rPr>
        <w:t>[13] J. Kim, "PokerKit: A comprehensive Python library for fine-grained multi-variant poker game simulations," IEEE Trans. on Games, 2023.</w:t>
      </w:r>
    </w:p>
    <w:p>
      <w:pPr>
        <w:spacing w:after="40" w:before="0" w:line="312" w:lineRule="auto"/>
        <w:ind w:left="320" w:hanging="320"/>
        <w:jc w:val="both"/>
      </w:pPr>
      <w:r>
        <w:rPr>
          <w:rFonts w:ascii="신명조" w:hAnsi="신명조" w:eastAsia="신명조"/>
          <w:b w:val="0"/>
          <w:i w:val="0"/>
          <w:sz w:val="18"/>
          <w:w w:val="95"/>
          <w:spacing w:val="-9"/>
        </w:rPr>
        <w:t>[14] R. S. Sutton and A. G. Barto, Reinforcement Learning: An Introduction, 2nd ed., MIT Press, 2018.</w:t>
      </w:r>
    </w:p>
    <w:p>
      <w:pPr>
        <w:spacing w:after="40" w:before="0" w:line="312" w:lineRule="auto"/>
        <w:ind w:left="320" w:hanging="320"/>
        <w:jc w:val="both"/>
      </w:pPr>
      <w:r>
        <w:rPr>
          <w:rFonts w:ascii="신명조" w:hAnsi="신명조" w:eastAsia="신명조"/>
          <w:b w:val="0"/>
          <w:i w:val="0"/>
          <w:sz w:val="18"/>
          <w:w w:val="95"/>
          <w:spacing w:val="-9"/>
        </w:rPr>
        <w:t>[15] S. Thrun and A. Schwartz, "Issues in using function approximation for reinforcement learning," Proc. of the 1993 Connectionist Models Summer School, pp. 255-263, 1993.</w:t>
      </w:r>
    </w:p>
    <w:p>
      <w:pPr>
        <w:spacing w:after="40" w:before="0" w:line="312" w:lineRule="auto"/>
        <w:ind w:left="320" w:hanging="320"/>
        <w:jc w:val="both"/>
      </w:pPr>
      <w:r>
        <w:rPr>
          <w:rFonts w:ascii="신명조" w:hAnsi="신명조" w:eastAsia="신명조"/>
          <w:b w:val="0"/>
          <w:i w:val="0"/>
          <w:sz w:val="18"/>
          <w:w w:val="95"/>
          <w:spacing w:val="-9"/>
        </w:rPr>
        <w:t>[16] H. van Hasselt, "Double Q-learning," Advances in Neural Information Processing Systems, pp. 2613-2621, 2010.</w:t>
      </w:r>
    </w:p>
    <w:p>
      <w:pPr>
        <w:spacing w:after="40" w:before="0" w:line="312" w:lineRule="auto"/>
        <w:ind w:left="320" w:hanging="320"/>
        <w:jc w:val="both"/>
      </w:pPr>
      <w:r>
        <w:rPr>
          <w:rFonts w:ascii="신명조" w:hAnsi="신명조" w:eastAsia="신명조"/>
          <w:b w:val="0"/>
          <w:i w:val="0"/>
          <w:sz w:val="18"/>
          <w:w w:val="95"/>
          <w:spacing w:val="-9"/>
        </w:rPr>
        <w:t>[17] E. Nikishin, M. Schwarzer, P. D'Oro, P.-L. Bacon, and A. Courville, "The primacy bias in deep reinforcement learning," Proc. Int. Conf. on Machine Learning, pp. 16828-16847, 2022.</w:t>
      </w:r>
    </w:p>
    <w:p>
      <w:pPr>
        <w:spacing w:after="40" w:before="0" w:line="312" w:lineRule="auto"/>
        <w:ind w:left="320" w:hanging="320"/>
        <w:jc w:val="both"/>
      </w:pPr>
      <w:r>
        <w:rPr>
          <w:rFonts w:ascii="신명조" w:hAnsi="신명조" w:eastAsia="신명조"/>
          <w:b w:val="0"/>
          <w:i w:val="0"/>
          <w:sz w:val="18"/>
          <w:w w:val="95"/>
          <w:spacing w:val="-9"/>
        </w:rPr>
        <w:t>[18] G. Sokar, R. Agarwal, P. S. Castro, and U. Evci, "The dormant neuron phenomenon in deep reinforcement learning," Proc. Int. Conf. on Machine Learning, pp. 32145-32168, 2023.</w:t>
      </w:r>
    </w:p>
    <w:p>
      <w:pPr>
        <w:spacing w:after="40" w:before="0" w:line="312" w:lineRule="auto"/>
        <w:ind w:left="320" w:hanging="320"/>
        <w:jc w:val="both"/>
      </w:pPr>
      <w:r>
        <w:rPr>
          <w:rFonts w:ascii="신명조" w:hAnsi="신명조" w:eastAsia="신명조"/>
          <w:b w:val="0"/>
          <w:i w:val="0"/>
          <w:sz w:val="18"/>
          <w:w w:val="95"/>
          <w:spacing w:val="-9"/>
        </w:rPr>
        <w:t>[19] E. Pignatelli, J. Ferret, M. Geist, T. Mesnard, H. van Hasselt, and L. Toni, "A survey of temporal credit assignment in deep reinforcement learning," arXiv:2312.01072, 2023.</w:t>
      </w:r>
    </w:p>
    <w:p>
      <w:pPr>
        <w:spacing w:after="40" w:before="0" w:line="312" w:lineRule="auto"/>
        <w:ind w:left="320" w:hanging="320"/>
        <w:jc w:val="both"/>
      </w:pPr>
      <w:r>
        <w:rPr>
          <w:rFonts w:ascii="신명조" w:hAnsi="신명조" w:eastAsia="신명조"/>
          <w:b w:val="0"/>
          <w:i w:val="0"/>
          <w:sz w:val="18"/>
          <w:w w:val="95"/>
          <w:spacing w:val="-9"/>
        </w:rPr>
        <w:t>[20] 유병현, 데브라니 데비, 김현우, 송화전, 박경문, 이성원, "멀티 에이전트 강화학습 기술 동향," 전자통신동향분석, 제35권 제6호, pp. 137-149, 2020.</w:t>
      </w:r>
    </w:p>
    <w:p>
      <w:pPr>
        <w:spacing w:after="40" w:before="0" w:line="312" w:lineRule="auto"/>
        <w:ind w:left="320" w:hanging="320"/>
        <w:jc w:val="both"/>
      </w:pPr>
      <w:r>
        <w:rPr>
          <w:rFonts w:ascii="신명조" w:hAnsi="신명조" w:eastAsia="신명조"/>
          <w:b w:val="0"/>
          <w:i w:val="0"/>
          <w:sz w:val="18"/>
          <w:w w:val="95"/>
          <w:spacing w:val="-9"/>
        </w:rPr>
        <w:t>[21] 김민경, "Ray RLlib 기반 QMIX와 RND를 이용한 희소 보상 전장 환경에서의 멀티에이전트 강화학습 협업," 한국컴퓨터정보학회논문지, 제29권 제1호, pp. 11-19, 2024.</w:t>
      </w:r>
    </w:p>
    <w:p>
      <w:pPr>
        <w:spacing w:after="120" w:before="0" w:line="312" w:lineRule="auto"/>
        <w:jc w:val="center"/>
      </w:pPr>
      <w:r>
        <w:rPr>
          <w:rFonts w:ascii="신명조" w:hAnsi="신명조" w:eastAsia="신명조"/>
          <w:b/>
          <w:i w:val="0"/>
          <w:sz w:val="24"/>
          <w:w w:val="95"/>
          <w:spacing w:val="-12"/>
        </w:rPr>
        <w:t>저자소개</w:t>
      </w:r>
    </w:p>
    <w:p>
      <w:pPr>
        <w:spacing w:after="40" w:before="0" w:line="384" w:lineRule="auto"/>
        <w:jc w:val="both"/>
      </w:pPr>
      <w:r>
        <w:rPr>
          <w:rFonts w:ascii="신명조" w:hAnsi="신명조" w:eastAsia="신명조"/>
          <w:b w:val="0"/>
          <w:i w:val="0"/>
          <w:sz w:val="18"/>
          <w:w w:val="95"/>
          <w:spacing w:val="-9"/>
        </w:rPr>
        <w:t>[저자명] (Author Name)  [정회원]</w:t>
      </w:r>
    </w:p>
    <w:p>
      <w:pPr>
        <w:spacing w:after="40" w:before="0" w:line="384" w:lineRule="auto"/>
        <w:jc w:val="both"/>
      </w:pPr>
      <w:r>
        <w:rPr>
          <w:rFonts w:ascii="신명조" w:hAnsi="신명조" w:eastAsia="신명조"/>
          <w:b w:val="0"/>
          <w:i w:val="0"/>
          <w:sz w:val="18"/>
          <w:w w:val="95"/>
          <w:spacing w:val="-9"/>
        </w:rPr>
        <w:t>[학사/석사/박사 취득연월 및 학위명]</w:t>
      </w:r>
    </w:p>
    <w:p>
      <w:pPr>
        <w:spacing w:after="40" w:before="0" w:line="384" w:lineRule="auto"/>
        <w:jc w:val="both"/>
      </w:pPr>
      <w:r>
        <w:rPr>
          <w:rFonts w:ascii="신명조" w:hAnsi="신명조" w:eastAsia="신명조"/>
          <w:b w:val="0"/>
          <w:i w:val="0"/>
          <w:sz w:val="18"/>
          <w:w w:val="95"/>
          <w:spacing w:val="-9"/>
        </w:rPr>
        <w:t>[현 소속기관 및 직위]  E-mail : [e-mail]</w:t>
      </w:r>
    </w:p>
    <w:p>
      <w:pPr>
        <w:spacing w:after="40" w:before="0" w:line="384" w:lineRule="auto"/>
        <w:jc w:val="both"/>
      </w:pPr>
      <w:r>
        <w:rPr>
          <w:rFonts w:ascii="신명조" w:hAnsi="신명조" w:eastAsia="신명조"/>
          <w:b w:val="0"/>
          <w:i w:val="0"/>
          <w:sz w:val="18"/>
          <w:w w:val="95"/>
          <w:spacing w:val="-9"/>
        </w:rPr>
        <w:t>관심분야 : 강화학습, 게임 AI, 학습 동역학 분석</w:t>
      </w:r>
    </w:p>
    <w:sectPr w:rsidR="00FC693F" w:rsidRPr="0006063C" w:rsidSect="00034616">
      <w:type w:val="continuous"/>
      <w:pgSz w:w="10772" w:h="14740"/>
      <w:pgMar w:top="1134" w:right="1134" w:bottom="1134" w:left="1134" w:header="850" w:footer="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pPr>
    <w:rPr>
      <w:rFonts w:ascii="신명조" w:hAnsi="신명조" w:eastAsia="신명조"/>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