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0" w:before="0" w:line="312" w:lineRule="auto"/>
        <w:rPr>
          <w:rFonts w:ascii="HY신명조" w:eastAsia="HY신명조" w:hAnsi="HY신명조" w:cs="HY신명조" w:hint="default"/>
          <w:u w:color="auto"/>
        </w:rPr>
      </w:pPr>
      <w:r>
        <w:rPr>
          <w:rFonts w:ascii="HY신명조" w:eastAsia="HY신명조" w:hAnsi="HY신명조" w:cs="HY신명조"/>
          <w:b/>
          <w:i w:val="0"/>
          <w:w w:val="95"/>
          <w:sz w:val="30"/>
          <w:u w:color="auto"/>
          <w:spacing w:val="-15"/>
        </w:rPr>
        <w:t>비례배분 기여도 하의 영-기여 흡수(zero-credit absorption) 진단과</w:t>
      </w:r>
    </w:p>
    <w:p>
      <w:pPr>
        <w:jc w:val="center"/>
        <w:spacing w:after="160" w:before="0" w:line="312" w:lineRule="auto"/>
        <w:rPr>
          <w:rFonts w:ascii="HY신명조" w:eastAsia="HY신명조" w:hAnsi="HY신명조" w:cs="HY신명조" w:hint="default"/>
          <w:u w:color="auto"/>
        </w:rPr>
      </w:pPr>
      <w:r>
        <w:rPr>
          <w:rFonts w:ascii="HY신명조" w:eastAsia="HY신명조" w:hAnsi="HY신명조" w:cs="HY신명조"/>
          <w:b/>
          <w:i w:val="0"/>
          <w:w w:val="95"/>
          <w:sz w:val="30"/>
          <w:u w:color="auto"/>
          <w:spacing w:val="-15"/>
        </w:rPr>
        <w:t>최소 가상비용 처방 — tabular Monte-Carlo 포커 학습의 형식적 사례연구</w:t>
      </w:r>
    </w:p>
    <w:p>
      <w:pPr>
        <w:jc w:val="center"/>
        <w:spacing w:after="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21"/>
          <w:u w:color="auto"/>
          <w:spacing w:val="-10"/>
        </w:rPr>
        <w:t>[저자명]*</w:t>
      </w:r>
    </w:p>
    <w:p>
      <w:pPr>
        <w:jc w:val="center"/>
        <w:spacing w:after="16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9"/>
          <w:u w:color="auto"/>
          <w:spacing w:val="-10"/>
        </w:rPr>
        <w:t>[소속기관] [직위]</w:t>
      </w:r>
    </w:p>
    <w:p>
      <w:pPr>
        <w:jc w:val="center"/>
        <w:spacing w:after="80" w:before="0" w:line="312" w:lineRule="auto"/>
        <w:rPr>
          <w:rFonts w:ascii="HY신명조" w:eastAsia="HY신명조" w:hAnsi="HY신명조" w:cs="HY신명조" w:hint="default"/>
          <w:u w:color="auto"/>
        </w:rPr>
      </w:pPr>
      <w:r>
        <w:rPr>
          <w:rFonts w:ascii="HY신명조" w:eastAsia="HY신명조" w:hAnsi="HY신명조" w:cs="HY신명조"/>
          <w:b/>
          <w:i w:val="0"/>
          <w:w w:val="95"/>
          <w:sz w:val="22"/>
          <w:u w:color="auto"/>
          <w:spacing w:val="-11"/>
        </w:rPr>
        <w:t>국문 요약</w:t>
      </w:r>
    </w:p>
    <w:p>
      <w:pPr>
        <w:jc w:val="both"/>
        <w:spacing w:after="8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표 기반 Monte-Carlo 제어로 헤즈업 노리밋 홀덤을 학습할 때, 각 행동의 보상을 그 행동의 투자액 비율로 배분하는 비례배분(proportional) 기여도 정형화는 분산을 줄이는 합리적 선택이다. 본 연구는 이 방식이 비용 0 행동(예: CHECK)에 구조적 병리를 남김을 형식적으로 보인다. 비용 0 행동의 비례 credit은 매 에피소드 정확히 0이므로 그 Monte-Carlo 고정점은 행동의 참 가치와 무관하게 0에 고정되고, 모든 가용 행동이 음(−)의 기댓값인 노드에서 이 0은 열등한 비용 0 행동을 greedy 정책이 영구히 선택하게 만든다. 우리는 이를 영-기여 흡수(zero-credit absorption, ZCA)로 명명하고 최소 toy MDP에서 (i) 영-고정점, (ii) 흡수 정리, (iii) 낙관적 초기화의 일시적 흡수와의 질적 구별(영구적·고정점≠참값)을 증명한다. 또한 무시 가능한 가상비용(virtual information cost, VIC)이 흡수를 해소함을 보이고 그 임계 가상비용을 유도하며, 통제비교로 무정보 노이즈·동점 처리(tie-break)가 흡수를 탈출하지 못함을 보인다. 본 결과는 학습 seed·평가 표본과 무관한 고정점 사실이며, 실제 다단계 MDP의 성능 효과 및 분포 외(out-of-distribution) 일반화 인과는 검증되지 않은 향후 과제로 정직하게 분리한다.</w:t>
      </w:r>
    </w:p>
    <w:p>
      <w:pPr>
        <w:spacing w:after="200" w:line="384" w:lineRule="auto"/>
        <w:rPr>
          <w:rFonts w:ascii="HY신명조" w:eastAsia="HY신명조" w:hAnsi="HY신명조" w:cs="HY신명조" w:hint="default"/>
          <w:u w:color="auto"/>
        </w:rPr>
      </w:pPr>
      <w:r>
        <w:rPr>
          <w:rFonts w:ascii="HY신명조" w:eastAsia="HY신명조" w:hAnsi="HY신명조" w:cs="HY신명조"/>
          <w:b/>
          <w:i w:val="0"/>
          <w:w w:val="95"/>
          <w:sz w:val="18"/>
          <w:u w:color="auto"/>
          <w:spacing w:val="-9"/>
        </w:rPr>
        <w:t xml:space="preserve">주제어 : </w:t>
      </w:r>
      <w:r>
        <w:rPr>
          <w:rFonts w:ascii="HY신명조" w:eastAsia="HY신명조" w:hAnsi="HY신명조" w:cs="HY신명조"/>
          <w:b w:val="0"/>
          <w:i w:val="0"/>
          <w:w w:val="95"/>
          <w:sz w:val="18"/>
          <w:u w:color="auto"/>
          <w:spacing w:val="-9"/>
        </w:rPr>
        <w:t>강화학습, Monte-Carlo 제어, 기여도 배분, 보상 형성, 영-기여 흡수, tabular Q-learning, 헤즈업 노리밋 홀덤</w:t>
      </w:r>
    </w:p>
    <w:p>
      <w:pPr>
        <w:jc w:val="center"/>
        <w:spacing w:after="0" w:before="0" w:line="312" w:lineRule="auto"/>
        <w:rPr>
          <w:rFonts w:ascii="HY신명조" w:eastAsia="HY신명조" w:hAnsi="HY신명조" w:cs="HY신명조" w:hint="default"/>
          <w:u w:color="auto"/>
        </w:rPr>
      </w:pPr>
      <w:r>
        <w:rPr>
          <w:rFonts w:ascii="HY신명조" w:eastAsia="HY신명조" w:hAnsi="HY신명조" w:cs="HY신명조"/>
          <w:b/>
          <w:i w:val="0"/>
          <w:w w:val="95"/>
          <w:sz w:val="25"/>
          <w:u w:color="auto"/>
          <w:spacing w:val="-12"/>
        </w:rPr>
        <w:t>Diagnosing Zero-Credit Absorption under Proportional Credit Assignment and a</w:t>
      </w:r>
    </w:p>
    <w:p>
      <w:pPr>
        <w:jc w:val="center"/>
        <w:spacing w:after="160" w:before="0" w:line="312" w:lineRule="auto"/>
        <w:rPr>
          <w:rFonts w:ascii="HY신명조" w:eastAsia="HY신명조" w:hAnsi="HY신명조" w:cs="HY신명조" w:hint="default"/>
          <w:u w:color="auto"/>
        </w:rPr>
      </w:pPr>
      <w:r>
        <w:rPr>
          <w:rFonts w:ascii="HY신명조" w:eastAsia="HY신명조" w:hAnsi="HY신명조" w:cs="HY신명조"/>
          <w:b/>
          <w:i w:val="0"/>
          <w:w w:val="95"/>
          <w:sz w:val="25"/>
          <w:u w:color="auto"/>
          <w:spacing w:val="-12"/>
        </w:rPr>
        <w:t>Minimal Virtual-Cost Remedy: A Formal Case Study in Tabular Monte-Carlo Poker Learning</w:t>
      </w:r>
    </w:p>
    <w:p>
      <w:pPr>
        <w:jc w:val="center"/>
        <w:spacing w:after="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21"/>
          <w:u w:color="auto"/>
          <w:spacing w:val="-10"/>
        </w:rPr>
        <w:t>[Author Name]*</w:t>
      </w:r>
    </w:p>
    <w:p>
      <w:pPr>
        <w:jc w:val="center"/>
        <w:spacing w:after="16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9"/>
          <w:u w:color="auto"/>
          <w:spacing w:val="-10"/>
        </w:rPr>
        <w:t>[Affiliation], [Position]</w:t>
      </w:r>
    </w:p>
    <w:p>
      <w:pPr>
        <w:jc w:val="center"/>
        <w:spacing w:after="80" w:before="0" w:line="312" w:lineRule="auto"/>
        <w:rPr>
          <w:rFonts w:ascii="HY신명조" w:eastAsia="HY신명조" w:hAnsi="HY신명조" w:cs="HY신명조" w:hint="default"/>
          <w:u w:color="auto"/>
        </w:rPr>
      </w:pPr>
      <w:r>
        <w:rPr>
          <w:rFonts w:ascii="HY신명조" w:eastAsia="HY신명조" w:hAnsi="HY신명조" w:cs="HY신명조"/>
          <w:b/>
          <w:i w:val="0"/>
          <w:w w:val="95"/>
          <w:sz w:val="22"/>
          <w:u w:color="auto"/>
          <w:spacing w:val="-11"/>
        </w:rPr>
        <w:t>ABSTRACT</w:t>
      </w:r>
    </w:p>
    <w:p>
      <w:pPr>
        <w:jc w:val="both"/>
        <w:spacing w:after="8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In tabular Monte-Carlo (MC) control for heads-up no-limit Texas hold'em, assigning each action a share of the terminal payoff proportional to its invested chips—proportional credit assignment—is a reasonable variance-reduction choice. We show formally that it introduces a structural pathology for zero-cost actions (e.g., CHECK): their proportional credit is exactly zero every episode, so the MC fixed point is pinned to zero regardless of true value, and at any node where all actions have negative expected value this zero makes a greedy policy permanently select the inferior zero-cost action. We name this zero-credit absorption (ZCA) and prove in a minimal toy MDP (i) the zero fixed point, (ii) an absorption theorem, and (iii) its qualitative distinction from the transient absorption of optimistic initialization (permanent; fixed point ≠ true value). We further show a negligible virtual information cost (VIC) dissolves the absorption, derive the exact threshold, and show by controlled comparison that uninformative noise and tie-breaking fail to escape it. These are fixed-point facts independent of seed and sample; the full-MDP performance effect and any link to out-of-distribution generalization are honestly separated as future work.</w:t>
      </w:r>
    </w:p>
    <w:p>
      <w:pPr>
        <w:spacing w:after="120" w:line="384" w:lineRule="auto"/>
        <w:rPr>
          <w:rFonts w:ascii="HY신명조" w:eastAsia="HY신명조" w:hAnsi="HY신명조" w:cs="HY신명조" w:hint="default"/>
          <w:u w:color="auto"/>
        </w:rPr>
      </w:pPr>
      <w:r>
        <w:rPr>
          <w:rFonts w:ascii="HY신명조" w:eastAsia="HY신명조" w:hAnsi="HY신명조" w:cs="HY신명조"/>
          <w:b/>
          <w:i w:val="0"/>
          <w:w w:val="95"/>
          <w:sz w:val="18"/>
          <w:u w:color="auto"/>
          <w:spacing w:val="-9"/>
        </w:rPr>
        <w:t xml:space="preserve">Keywords : </w:t>
      </w:r>
      <w:r>
        <w:rPr>
          <w:rFonts w:ascii="HY신명조" w:eastAsia="HY신명조" w:hAnsi="HY신명조" w:cs="HY신명조"/>
          <w:b w:val="0"/>
          <w:i w:val="0"/>
          <w:w w:val="95"/>
          <w:sz w:val="18"/>
          <w:u w:color="auto"/>
          <w:spacing w:val="-9"/>
        </w:rPr>
        <w:t>reinforcement learning, Monte-Carlo control, credit assignment, reward shaping, zero-credit absorption, tabular Q-learning, heads-up no-limit hold'em</w:t>
      </w:r>
    </w:p>
    <w:p>
      <w:pPr>
        <w:rPr>
          <w:rFonts w:ascii="HY신명조" w:eastAsia="HY신명조" w:hAnsi="HY신명조" w:cs="HY신명조" w:hint="default"/>
          <w:u w:color="auto"/>
        </w:rPr>
        <w:sectPr>
          <w:pgSz w:w="10772" w:h="14740"/>
          <w:pgMar w:top="1134" w:right="1134" w:bottom="1134" w:left="1134" w:header="850" w:footer="0" w:gutter="0"/>
          <w:cols w:space="360"/>
          <w:docGrid w:linePitch="360"/>
        </w:sectPr>
      </w:pPr>
    </w:p>
    <w:p>
      <w:pPr>
        <w:jc w:val="center"/>
        <w:spacing w:after="240" w:before="120" w:line="312" w:lineRule="auto"/>
        <w:rPr>
          <w:rFonts w:ascii="HY신명조" w:eastAsia="HY신명조" w:hAnsi="HY신명조" w:cs="HY신명조" w:hint="default"/>
          <w:u w:color="auto"/>
        </w:rPr>
      </w:pPr>
      <w:r>
        <w:rPr>
          <w:rFonts w:ascii="HY신명조" w:eastAsia="HY신명조" w:hAnsi="HY신명조" w:cs="HY신명조"/>
          <w:b/>
          <w:i w:val="0"/>
          <w:w w:val="95"/>
          <w:sz w:val="24"/>
          <w:u w:color="auto"/>
          <w:spacing w:val="-12"/>
        </w:rPr>
        <w:t>1. 서론</w:t>
      </w: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표 기반 강화학습은 함수근사의 블랙박스 효과 없이 학습 동역학을 단일변수로 통제·관찰할 수 있다. 본 연구의 무대는 헤즈업 노리밋 홀덤을 순수 tabular Monte-Carlo로 학습하는 환경이며, 목적은 강한 봇이 아니라 구조적 기여도 배분이 남기는 측정 가능한 병리의 진단이다.</w:t>
      </w: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Monte-Carlo 제어에서 종단 보상을 행동에 배분하는 방식은 학습 신호의 분산·편향을 좌우한다. 표준 Monte-Carlo는 편향이 없지만 분산이 크고, 자연스러운 대안은 각 행동이 판돈에 투입한 금액의 비율로 보상을 나누는 비례배분(proportional)이다. 그러나 본 연구는 이 합리적 선택이 비용 0 행동(투자액 0, 대표적으로 CHECK)에 구조적 함정을 내포함을 보인다. 비용 0 행동의 비례 credit은 분자가 0이라 항상 0이고, 그 가치 추정의 고정점은 실제 기댓값과 무관하게 0에 고정된다. 이 0은 음의 값으로 올바르게 학습된 다른 행동들보다 높아 보여, greedy 정책이 열등한 비용 0 행동을 영구히 선택한다.</w:t>
      </w: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본 논문의 기여는 (1) 이 현상을 영-기여 흡수(ZCA)로 명명하고 toy MDP에서 형식적으로 증명하며, (2) ZCA가 낙관적 초기화와 고정점 수준에서 질적으로 구별됨을 보이고, (3) 무시 가능한 가상비용 VIC로 흡수를 해소하는 처방과 그 임계를 유도하며 무정보 대안과 통제비교하고, (4) 본 결과의 범위를 — 고정점 사실이되 성능·일반화 인과는 미검증임을 — 정직하게 분리한 것이다.</w:t>
      </w:r>
    </w:p>
    <w:p>
      <w:pPr>
        <w:jc w:val="center"/>
        <w:spacing w:after="240" w:before="120" w:line="312" w:lineRule="auto"/>
        <w:rPr>
          <w:rFonts w:ascii="HY신명조" w:eastAsia="HY신명조" w:hAnsi="HY신명조" w:cs="HY신명조" w:hint="default"/>
          <w:u w:color="auto"/>
        </w:rPr>
      </w:pPr>
      <w:r>
        <w:rPr>
          <w:rFonts w:ascii="HY신명조" w:eastAsia="HY신명조" w:hAnsi="HY신명조" w:cs="HY신명조"/>
          <w:b/>
          <w:i w:val="0"/>
          <w:w w:val="95"/>
          <w:sz w:val="24"/>
          <w:u w:color="auto"/>
          <w:spacing w:val="-12"/>
        </w:rPr>
        <w:t>2. 관련 연구</w:t>
      </w: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ZCA를 이루는 부품은 인접 문헌에 모두 존재하나, 본 연구는 그 부호를 뒤집어 같은 구조를 실패 모드로 진단한다. 협력게임 이론의 Shapley value[3] 및 Shapley Q-value[4]는 null-player 공리(한계 기여 0 → 배분 0)를 공정성의 바람직한 성질로 둔다 — 본 연구의 "비용 0 → credit 0"은 그 정확한 대응물이나 진단의 방향이 반대다. 같은 직관은 difference rewards[1]·COMA[2]의 counterfactual 신용에도 깔려 있다. RUDDER[5]는 return-equivalent 재분배가 최적 정책을 보존함을 보이는데, 비례배분은 비용 0 행동에 대해 return-equivalent가 아니며 ZCA는 정확히 그 비등가 영역에서 발생한다(보존 정리의 대우).</w:t>
      </w: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처방 측면에서 VIC는 potential-based reward shaping(PBRS)이 Q-value 초기화와 등가[6][7]인 틀 안에 위치한다. 다만 "비용 0(no-op) 행동에 선택적·음·credit 기반 가상비용을 부여해 영-고정 흡수를 깬다"는 처방을 명시한 선행은 확인되지 않았고, 의도상 가장 가까운 action-penalty[8]는 모든 행동에 일률적이라 선택적이지 않다. 한편 미방문/낙관적 0이 음수 행동을 일시적으로 흡수하는 현상은 잘 알려져 있고 비관적 초기화의 영구 미선택도 정식화되어 있으나[9], 이는 초기화·보상값 기인으로 비례 credit이 구조적으로 0을 생성하는 본 연구의 영-기여 흡수와 기제가 다르다. 단일 seed의 결과 오도 위험은 재현성 문헌[10][11][12]이 확립했으며, 본 연구는 이를 5장에서 부정적 결과로 보고한다.</w:t>
      </w:r>
    </w:p>
    <w:p>
      <w:pPr>
        <w:jc w:val="center"/>
        <w:spacing w:after="240" w:before="120" w:line="312" w:lineRule="auto"/>
        <w:rPr>
          <w:rFonts w:ascii="HY신명조" w:eastAsia="HY신명조" w:hAnsi="HY신명조" w:cs="HY신명조" w:hint="default"/>
          <w:u w:color="auto"/>
        </w:rPr>
      </w:pPr>
      <w:r>
        <w:rPr>
          <w:rFonts w:ascii="HY신명조" w:eastAsia="HY신명조" w:hAnsi="HY신명조" w:cs="HY신명조"/>
          <w:b/>
          <w:i w:val="0"/>
          <w:w w:val="95"/>
          <w:sz w:val="24"/>
          <w:u w:color="auto"/>
          <w:spacing w:val="-12"/>
        </w:rPr>
        <w:t>3. 영-기여 흡수의 형식적 특성화</w:t>
      </w: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문제 설정(toy MDP). 결정 상태 s에서 행동 a₁을 한 번 선택한다. 각 행동은 투자액 inv(a₁)≥0을 가지며 비용 0 행동(CHECK)은 inv=0이다. 선택 후 궤적은 투자액 c&gt;0인 후속 행동을 적어도 하나 포함하고 종단 보상 P로 끝난다(γ=1, 종단 보상만). μ(a₁):=E[P|a₁]로 두면 참값은 q*(s,a₁)=μ(a₁)이다. 세 배분 방식의 행동별 return R(s,a₁)은 &lt;Table 1&gt;과 같고, MC 업데이트 Q←Q+α(R−Q)의 고정점은 E[R]이다(sample-average 또는 감소 α; 상수 α도 평균 보존).</w:t>
      </w:r>
    </w:p>
    <w:p>
      <w:pPr>
        <w:jc w:val="center"/>
        <w:spacing w:after="40" w:before="0" w:line="312" w:lineRule="auto"/>
        <w:rPr>
          <w:rFonts w:ascii="HY신명조" w:eastAsia="HY신명조" w:hAnsi="HY신명조" w:cs="HY신명조" w:hint="default"/>
          <w:u w:color="auto"/>
        </w:rPr>
      </w:pPr>
      <w:r>
        <w:rPr>
          <w:rFonts w:ascii="HY신명조" w:eastAsia="HY신명조" w:hAnsi="HY신명조" w:cs="HY신명조"/>
          <w:b/>
          <w:i w:val="0"/>
          <w:w w:val="95"/>
          <w:sz w:val="18"/>
          <w:u w:color="auto"/>
          <w:spacing w:val="-9"/>
        </w:rPr>
        <w:t>&lt;Table 1&gt; 행동별 return R(s, a₁) / Per-action return</w:t>
      </w:r>
    </w:p>
    <w:tbl>
      <w:tblPr>
        <w:tblStyle w:val="TableGrid"/>
        <w:tblW w:w="0" w:type="auto"/>
        <w:tblLook w:val="04A0" w:firstRow="1" w:lastRow="0" w:firstColumn="1" w:lastColumn="0" w:noHBand="0" w:noVBand="1"/>
        <w:jc w:val="center"/>
      </w:tblPr>
      <w:tblGrid>
        <w:gridCol w:w="1899"/>
        <w:gridCol w:w="1899"/>
      </w:tblGrid>
      <w:tr>
        <w:trPr/>
        <w:tc>
          <w:tcPr>
            <w:tcW w:w="189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방식 (scheme)</w:t>
            </w:r>
          </w:p>
        </w:tc>
        <w:tc>
          <w:tcPr>
            <w:tcW w:w="189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R(s, a₁)</w:t>
            </w:r>
          </w:p>
        </w:tc>
      </w:tr>
      <w:tr>
        <w:trPr/>
        <w:tc>
          <w:tcPr>
            <w:tcW w:w="189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표준 MC</w:t>
            </w:r>
          </w:p>
        </w:tc>
        <w:tc>
          <w:tcPr>
            <w:tcW w:w="189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P</w:t>
            </w:r>
          </w:p>
        </w:tc>
      </w:tr>
      <w:tr>
        <w:trPr/>
        <w:tc>
          <w:tcPr>
            <w:tcW w:w="189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비례배분 (PROP)</w:t>
            </w:r>
          </w:p>
        </w:tc>
        <w:tc>
          <w:tcPr>
            <w:tcW w:w="189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 inv(a₁) / (inv(a₁)+c) ] · P</w:t>
            </w:r>
          </w:p>
        </w:tc>
      </w:tr>
      <w:tr>
        <w:trPr/>
        <w:tc>
          <w:tcPr>
            <w:tcW w:w="189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VIC</w:t>
            </w:r>
          </w:p>
        </w:tc>
        <w:tc>
          <w:tcPr>
            <w:tcW w:w="189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PROP과 동일, 단 inv(CHECK) ← ε &gt; 0</w:t>
            </w:r>
          </w:p>
        </w:tc>
      </w:tr>
    </w:tbl>
    <w:p>
      <w:pPr>
        <w:jc w:val="both"/>
        <w:spacing w:after="80" w:before="0" w:line="384" w:lineRule="auto"/>
        <w:rPr>
          <w:rFonts w:ascii="HY신명조" w:eastAsia="HY신명조" w:hAnsi="HY신명조" w:cs="HY신명조" w:hint="default"/>
          <w:u w:color="auto"/>
        </w:rPr>
      </w:pPr>
    </w:p>
    <w:p>
      <w:pPr>
        <w:jc w:val="both"/>
        <w:spacing w:after="8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Lemma 1 (표준 MC의 일치성). Q_std(s,a₁) → μ(a₁) = q*(s,a₁). 증명. R=P이므로 고정점은 E[P|a₁]=μ(a₁). ∎</w:t>
      </w:r>
    </w:p>
    <w:p>
      <w:pPr>
        <w:jc w:val="both"/>
        <w:spacing w:after="8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Lemma 2 (비용 0 행동의 영-고정점). Q_prop(s,a₁) = [inv(a₁)/(inv(a₁)+c)]·μ(a₁), 특히 Q_prop(s,CHECK) = (0/(0+c))·μ(CHECK) = 0  (∀ μ(CHECK)). 증명. CHECK는 분자가 0. ∎  CHECK의 고정점은 참값과 무관하게 0이며, R≡0이라 표본 분산도 0인 구조적 고정점(초기화 잔재 아님)이다. 비용&gt;0 행동은 μ(a₁)을 inv/(inv+c)&lt;1로 수축하되 부호를 보존한다 — 이 비대칭이 ZCA의 핵심이다.</w:t>
      </w:r>
    </w:p>
    <w:p>
      <w:pPr>
        <w:jc w:val="both"/>
        <w:spacing w:after="8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Theorem (영-고정점에 의한 흡수). q*(CHECK)=μ_C &lt; μ_B=q*(BET)이고 μ_B&lt;0이면(BET이 낫지만 둘 다 −EV), 비례배분 greedy는 열등한 CHECK를, 표준 MC greedy는 최적 BET을 선택한다. 증명. Q_prop(CHECK)=0 &gt; [b/(b+c)]·μ_B = Q_prop(BET)이나 μ_C&lt;μ_B이므로 CHECK는 열등. 표준 MC는 Q=μ이므로 BET 선택. ∎</w:t>
      </w:r>
    </w:p>
    <w:p>
      <w:pPr>
        <w:jc w:val="both"/>
        <w:spacing w:after="8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흡수의 적용 범위(중요). 흡수는 덜 나쁜 대안조차 −EV일 때만 발생한다. 어떤 행동이 +EV이면 Q_prop&gt;0=Q_prop(CHECK)라 정상 선택되므로, ZCA가 손상시키는 것은 "모든 가용 행동이 −EV인 노드에서 덜 나쁜 것을 고르는 능력"뿐이다.</w:t>
      </w: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Proposition 1 (낙관적 초기화와의 구분). Q를 0으로 초기화한 표준 MC에서 미방문 행동의 0-선호는 충분한 방문 후 Q→μ로 소거되어 일시적이며 고정점은 참값이다(Lemma 1). 대조적으로 Q_prop(CHECK)=0은 수렴 후에도 유지되는 고정점이며 참값과 다르다(Lemma 2). 즉 표면("0이 음수를 흡수")은 같으나 낙관적 초기화는 "아직 학습 못 해서"(일시적, 고정점=참값), ZCA는 "구조적으로 학습 불가라서"(영구, 고정점=0≠참값)이다. 이 고정점의 차이가 본 진단의 핵심이다.</w:t>
      </w:r>
    </w:p>
    <w:p>
      <w:pPr>
        <w:jc w:val="center"/>
        <w:spacing w:after="240" w:before="120" w:line="312" w:lineRule="auto"/>
        <w:rPr>
          <w:rFonts w:ascii="HY신명조" w:eastAsia="HY신명조" w:hAnsi="HY신명조" w:cs="HY신명조" w:hint="default"/>
          <w:u w:color="auto"/>
        </w:rPr>
      </w:pPr>
      <w:r>
        <w:rPr>
          <w:rFonts w:ascii="HY신명조" w:eastAsia="HY신명조" w:hAnsi="HY신명조" w:cs="HY신명조"/>
          <w:b/>
          <w:i w:val="0"/>
          <w:w w:val="95"/>
          <w:sz w:val="24"/>
          <w:u w:color="auto"/>
          <w:spacing w:val="-12"/>
        </w:rPr>
        <w:t>4. VIC: 임계 가상비용과 탈출 메커니즘 비교</w:t>
      </w: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Proposition 2 (VIC 복원과 임계). CHECK에 가상 투자 ε&gt;0을 주면 Q_vic(CHECK)=[ε/(ε+c)]·μ_C이다. Theorem 설정에서 greedy가 BET을 선택할 필요충분조건은 [b/(b+c)]·μ_B &gt; [ε/(ε+c)]·μ_C이고, μ_C&lt;0이므로 k := [b/(b+c)]·(μ_B/μ_C) ∈ (0,1)에 대해  ε &gt; ε_min = k·c / (1−k).  ε이 임계를 넘으면 Q_vic(CHECK)가 음으로 내려가 복원되고, 너무 작으면 흡수가 잔존한다. ε_min은 일반적으로 작아 "무시할 1칩이 임계만 넘으면 충분"하다는 설계와 정합한다. 핵심은 VIC가 부여하는 값이 참값 μ_C에 연동(informed)된다는 점이다.</w:t>
      </w:r>
    </w:p>
    <w:p>
      <w:pPr>
        <w:jc w:val="both"/>
        <w:spacing w:after="8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탈출 메커니즘 통제비교(&lt;Table 2&gt;). 비례배분 위에 VIC, 무정보 노이즈(결정 시 N(0,σ²) 가산), tie-break(정확히 동률일 때만 CHECK 후순위), 고정 페널티(−κ)를 얹어 비교한다.</w:t>
      </w:r>
    </w:p>
    <w:p>
      <w:pPr>
        <w:jc w:val="center"/>
        <w:spacing w:after="40" w:before="0" w:line="312" w:lineRule="auto"/>
        <w:rPr>
          <w:rFonts w:ascii="HY신명조" w:eastAsia="HY신명조" w:hAnsi="HY신명조" w:cs="HY신명조" w:hint="default"/>
          <w:u w:color="auto"/>
        </w:rPr>
      </w:pPr>
      <w:r>
        <w:rPr>
          <w:rFonts w:ascii="HY신명조" w:eastAsia="HY신명조" w:hAnsi="HY신명조" w:cs="HY신명조"/>
          <w:b/>
          <w:i w:val="0"/>
          <w:w w:val="95"/>
          <w:sz w:val="18"/>
          <w:u w:color="auto"/>
          <w:spacing w:val="-9"/>
        </w:rPr>
        <w:t>&lt;Table 2&gt; 탈출 메커니즘 비교 / Escape-mechanism comparison (μ_C=−5, μ_B=−1, b=c=1)</w:t>
      </w:r>
    </w:p>
    <w:tbl>
      <w:tblPr>
        <w:tblStyle w:val="TableGrid"/>
        <w:tblW w:w="0" w:type="auto"/>
        <w:tblLook w:val="04A0" w:firstRow="1" w:lastRow="0" w:firstColumn="1" w:lastColumn="0" w:noHBand="0" w:noVBand="1"/>
        <w:jc w:val="center"/>
      </w:tblPr>
      <w:tblGrid>
        <w:gridCol w:w="781"/>
        <w:gridCol w:w="781"/>
        <w:gridCol w:w="781"/>
        <w:gridCol w:w="781"/>
        <w:gridCol w:w="781"/>
      </w:tblGrid>
      <w:tr>
        <w:trPr/>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메커니즘 (mechanism)</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Q(CHECK)</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Q(BET)</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P(pick BET)</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판정</w:t>
            </w:r>
          </w:p>
        </w:tc>
      </w:tr>
      <w:tr>
        <w:trPr/>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표준 MC (대조)</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−5.0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−1.0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1.00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ZCA 없음</w:t>
            </w:r>
          </w:p>
        </w:tc>
      </w:tr>
      <w:tr>
        <w:trPr/>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비례배분 (ZCA)</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−0.5</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0.00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흡수</w:t>
            </w:r>
          </w:p>
        </w:tc>
      </w:tr>
      <w:tr>
        <w:trPr/>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VIC (ε=1)</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−2.5</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−0.5</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1.00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복원·informed</w:t>
            </w:r>
          </w:p>
        </w:tc>
      </w:tr>
      <w:tr>
        <w:trPr/>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노이즈 (σ=1)</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−0.5</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0.36</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미복원</w:t>
            </w:r>
          </w:p>
        </w:tc>
      </w:tr>
      <w:tr>
        <w:trPr/>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tie-break</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−0.5</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0.00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미복원</w:t>
            </w:r>
          </w:p>
        </w:tc>
      </w:tr>
      <w:tr>
        <w:trPr/>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고정 페널티 (κ=1)</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−1.0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−0.5</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1.00</w:t>
            </w:r>
          </w:p>
        </w:tc>
        <w:tc>
          <w:tcPr>
            <w:tcW w:w="781"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복원·무정보</w:t>
            </w:r>
          </w:p>
        </w:tc>
      </w:tr>
    </w:tbl>
    <w:p>
      <w:pPr>
        <w:jc w:val="both"/>
        <w:spacing w:after="80" w:before="0" w:line="384" w:lineRule="auto"/>
        <w:rPr>
          <w:rFonts w:ascii="HY신명조" w:eastAsia="HY신명조" w:hAnsi="HY신명조" w:cs="HY신명조" w:hint="default"/>
          <w:u w:color="auto"/>
        </w:rPr>
      </w:pP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두 가지가 갈린다. 첫째, strict 흡수 발동. ZCA는 0 &gt; Q(BET) &lt; 0인 부등식이지 동률이 아니므로, "동률일 때만" 작동하는 tie-break은 미발동(0≠−0.5)이며 흡수가 잔존한다. 노이즈도 고정점 0이 −0.5보다 높아 결정 시 잡음을 줘도 열등 CHECK를 약 64% 선택한다(학습 중 zero-mean 노이즈도 MC 고정점을 안 바꿔 동일). 즉 tie-break·노이즈는 strict 흡수를 탈출하지 못한다. 둘째, informed 여부. VIC와 고정 페널티는 복원하나, VIC의 고정점은 μ_C에 연동(informed)되어 서로 다른 μ_C의 다중 비용 0 상태에 자동 적응하는 반면 고정 페널티 −κ는 무정보다. 단 이 적응 이점의 성능 유의성은 실제 MDP 통제비교가 필요한 별도 문제다. 결국 VIC만 "strict 흡수 해소 + 고정점 informed"를 동시 충족한다.</w:t>
      </w:r>
    </w:p>
    <w:p>
      <w:pPr>
        <w:jc w:val="center"/>
        <w:spacing w:after="240" w:before="120" w:line="312" w:lineRule="auto"/>
        <w:rPr>
          <w:rFonts w:ascii="HY신명조" w:eastAsia="HY신명조" w:hAnsi="HY신명조" w:cs="HY신명조" w:hint="default"/>
          <w:u w:color="auto"/>
        </w:rPr>
      </w:pPr>
      <w:r>
        <w:rPr>
          <w:rFonts w:ascii="HY신명조" w:eastAsia="HY신명조" w:hAnsi="HY신명조" w:cs="HY신명조"/>
          <w:b/>
          <w:i w:val="0"/>
          <w:w w:val="95"/>
          <w:sz w:val="24"/>
          <w:u w:color="auto"/>
          <w:spacing w:val="-12"/>
        </w:rPr>
        <w:t>5. 수치 검증과 한계</w:t>
      </w:r>
    </w:p>
    <w:p>
      <w:pPr>
        <w:jc w:val="both"/>
        <w:spacing w:after="8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검증. &lt;Table 1&gt;·&lt;Table 2&gt;의 모든 주장을 독립 Monte-Carlo 시뮬레이션(40만 에피소드)으로 검증하였고 결과는 &lt;Table 3&gt; 및 해석식과 일치한다. 특히 비례배분에서 Q(CHECK)=0.000 (≠ μ_C=−5)으로 흡수가, VIC에서 −2.50으로 복원이 재현된다. 임계도 ε_min=0.111에서 ε≤0.111→CHECK·ε&gt;0.111→BET으로 소수점까지 일치한다. 검증 코드는 공개한다.</w:t>
      </w:r>
    </w:p>
    <w:p>
      <w:pPr>
        <w:jc w:val="center"/>
        <w:spacing w:after="40" w:before="0" w:line="312" w:lineRule="auto"/>
        <w:rPr>
          <w:rFonts w:ascii="HY신명조" w:eastAsia="HY신명조" w:hAnsi="HY신명조" w:cs="HY신명조" w:hint="default"/>
          <w:u w:color="auto"/>
        </w:rPr>
      </w:pPr>
      <w:r>
        <w:rPr>
          <w:rFonts w:ascii="HY신명조" w:eastAsia="HY신명조" w:hAnsi="HY신명조" w:cs="HY신명조"/>
          <w:b/>
          <w:i w:val="0"/>
          <w:w w:val="95"/>
          <w:sz w:val="18"/>
          <w:u w:color="auto"/>
          <w:spacing w:val="-9"/>
        </w:rPr>
        <w:t>&lt;Table 3&gt; 수치 검증 / Numerical verification (40만 ep, b=c=1, μ_C=−5, μ_B=−1, ε=1)</w:t>
      </w:r>
    </w:p>
    <w:tbl>
      <w:tblPr>
        <w:tblStyle w:val="TableGrid"/>
        <w:tblW w:w="0" w:type="auto"/>
        <w:tblLook w:val="04A0" w:firstRow="1" w:lastRow="0" w:firstColumn="1" w:lastColumn="0" w:noHBand="0" w:noVBand="1"/>
        <w:jc w:val="center"/>
      </w:tblPr>
      <w:tblGrid>
        <w:gridCol w:w="789"/>
        <w:gridCol w:w="789"/>
        <w:gridCol w:w="789"/>
        <w:gridCol w:w="789"/>
        <w:gridCol w:w="789"/>
      </w:tblGrid>
      <w:tr>
        <w:trPr/>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방식</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Q(CHECK)</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Q(BET)</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greedy</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i w:val="0"/>
                <w:w w:val="95"/>
                <w:sz w:val="17"/>
                <w:u w:color="auto"/>
                <w:spacing w:val="-8"/>
              </w:rPr>
              <w:t>판정</w:t>
            </w:r>
          </w:p>
        </w:tc>
      </w:tr>
      <w:tr>
        <w:trPr/>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표준 MC</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−4.99 (≈μ_C)</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−1.00</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BET</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정상(최적)</w:t>
            </w:r>
          </w:p>
        </w:tc>
      </w:tr>
      <w:tr>
        <w:trPr/>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비례배분</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0.000 (≠μ_C)</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−0.50</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CHECK</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흡수(열등)</w:t>
            </w:r>
          </w:p>
        </w:tc>
      </w:tr>
      <w:tr>
        <w:trPr/>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VIC</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−2.50</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−0.50</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BET</w:t>
            </w:r>
          </w:p>
        </w:tc>
        <w:tc>
          <w:tcPr>
            <w:tcW w:w="789" w:type="dxa"/>
          </w:tcPr>
          <w:p>
            <w:pPr>
              <w:jc w:val="center"/>
              <w:spacing w:line="288" w:lineRule="auto"/>
              <w:rPr>
                <w:rFonts w:ascii="HY신명조" w:eastAsia="HY신명조" w:hAnsi="HY신명조" w:cs="HY신명조" w:hint="default"/>
                <w:u w:color="auto"/>
              </w:rPr>
            </w:pPr>
            <w:r>
              <w:rPr>
                <w:rFonts w:ascii="HY신명조" w:eastAsia="HY신명조" w:hAnsi="HY신명조" w:cs="HY신명조"/>
                <w:b w:val="0"/>
                <w:i w:val="0"/>
                <w:w w:val="95"/>
                <w:sz w:val="17"/>
                <w:u w:color="auto"/>
                <w:spacing w:val="-8"/>
              </w:rPr>
              <w:t>복원</w:t>
            </w:r>
          </w:p>
        </w:tc>
      </w:tr>
    </w:tbl>
    <w:p>
      <w:pPr>
        <w:jc w:val="both"/>
        <w:spacing w:after="80" w:before="0" w:line="384" w:lineRule="auto"/>
        <w:rPr>
          <w:rFonts w:ascii="HY신명조" w:eastAsia="HY신명조" w:hAnsi="HY신명조" w:cs="HY신명조" w:hint="default"/>
          <w:u w:color="auto"/>
        </w:rPr>
      </w:pPr>
    </w:p>
    <w:p>
      <w:pPr>
        <w:jc w:val="both"/>
        <w:spacing w:after="12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범위와 한계(정직). (1) 본 결과는 학습 seed·평가 표본과 무관한 고정점 사실이다. 실제 2,048-셀 MDP에서는 c가 궤적마다 변하나 핵심(비용 0의 구조적 0-credit)은 동일하다. (2) 본 정리는 ZCA의 존재·특성화이지 VIC의 성능·일반화 인과가 아니다. 예비 실험에서 VIC 제거가 미학습 상대 대상 선택적 저하를 보였으나 학습 seed 전반의 통제실험에서 재현되지 않았다 — 따라서 "VIC=분포 일반화의 필요조건"이라는 강한 주장은 지지하지 않으며, 단일 seed 오도 가능성[10][11][12]과 정합하는 부정적 결과로 보고한다. 비용 0의 영-고정점(seed 무관)과 OOD 성능(seed 의존)은 별개 층위다. (3) VIC는 임계 이상이면 작동하는 한 처방이며 유일·최선이 아니다(4장의 고정 페널티 대비 성능 우열은 미검증). (4) ZCA의 부품은 알려져 있고 VIC는 PBRS≡Q-init[7] 틀 안에 있어 알고리즘 신규성은 제한적이다 — 기여는 알려진 구조의 미보고 실패 모드를 명명·형식화하고 임계를 유도하며 범위를 정직히 분리한 데 있다. (5) 단일 추상화·단일 게임에 한정된다.</w:t>
      </w:r>
    </w:p>
    <w:p>
      <w:pPr>
        <w:jc w:val="center"/>
        <w:spacing w:after="240" w:before="120" w:line="312" w:lineRule="auto"/>
        <w:rPr>
          <w:rFonts w:ascii="HY신명조" w:eastAsia="HY신명조" w:hAnsi="HY신명조" w:cs="HY신명조" w:hint="default"/>
          <w:u w:color="auto"/>
        </w:rPr>
      </w:pPr>
      <w:r>
        <w:rPr>
          <w:rFonts w:ascii="HY신명조" w:eastAsia="HY신명조" w:hAnsi="HY신명조" w:cs="HY신명조"/>
          <w:b/>
          <w:i w:val="0"/>
          <w:w w:val="95"/>
          <w:sz w:val="24"/>
          <w:u w:color="auto"/>
          <w:spacing w:val="-12"/>
        </w:rPr>
        <w:t>6. 결론</w:t>
      </w:r>
    </w:p>
    <w:p>
      <w:pPr>
        <w:jc w:val="both"/>
        <w:spacing w:after="16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본 연구는 tabular Monte-Carlo 비례배분 기여도가 비용 0 행동에 남기는 구조적 병리를 영-기여 흡수(ZCA)로 명명하고, toy MDP에서 영-고정점과 흡수를 증명하였다. ZCA는 낙관적 초기화와 고정점 수준에서 질적으로 구별되며, 최소 가상비용 VIC가 명시적 임계 이상에서 이를 해소함을, 그리고 무정보 노이즈·tie-break은 strict 흡수를 탈출하지 못함을 보였다. 이 결과들은 seed·표본과 무관한 형식적 사실이며, 실제 다단계 MDP의 성능 효과와 분포 외 일반화 인과는 향후 과제로 분리하였다. 본 사례연구의 가치는 성능이 아니라 구조적 기여도 배분의 측정 가능한 병리를 형식적으로 진단하고 한계를 정직하게 드러낸 데 있다.</w:t>
      </w:r>
    </w:p>
    <w:p>
      <w:pPr>
        <w:jc w:val="center"/>
        <w:spacing w:after="120" w:before="0" w:line="312" w:lineRule="auto"/>
        <w:rPr>
          <w:rFonts w:ascii="HY신명조" w:eastAsia="HY신명조" w:hAnsi="HY신명조" w:cs="HY신명조" w:hint="default"/>
          <w:u w:color="auto"/>
        </w:rPr>
      </w:pPr>
      <w:r>
        <w:rPr>
          <w:rFonts w:ascii="HY신명조" w:eastAsia="HY신명조" w:hAnsi="HY신명조" w:cs="HY신명조"/>
          <w:b/>
          <w:i w:val="0"/>
          <w:w w:val="95"/>
          <w:sz w:val="24"/>
          <w:u w:color="auto"/>
          <w:spacing w:val="-12"/>
        </w:rPr>
        <w:t>참고문헌</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[1] D. H. Wolpert and K. Tumer, "Optimal payoff functions for members of collectives," Advances in Complex Systems, Vol. 4, No. 2/3, pp. 265-279, 2001.</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[2] J. Foerster, G. Farquhar, T. Afouras, N. Nardelli, and S. Whiteson, "Counterfactual multi-agent policy gradients," Proc. AAAI Conf. on Artificial Intelligence, pp. 2974-2982, 2018.</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[3] L. S. Shapley, "A value for n-person games," Contributions to the Theory of Games II, Princeton Univ. Press, pp. 307-317, 1953.</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[4] J. Wang, Y. Zhang, T.-K. Kim, and Y. Gu, "Shapley Q-value: A local reward approach to solve global reward games," Proc. AAAI Conf. on Artificial Intelligence, pp. 7285-7292, 2020.</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[5] J. A. Arjona-Medina, M. Gillhofer, M. Widrich, T. Unterthiner, J. Brandstetter, and S. Hochreiter, "RUDDER: Return decomposition for delayed rewards," Advances in Neural Information Processing Systems, pp. 13544-13555, 2019.</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[6] A. Y. Ng, D. Harada, and S. Russell, "Policy invariance under reward transformations: Theory and application to reward shaping," Proc. Int. Conf. on Machine Learning, pp. 278-287, 1999.</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[7] E. Wiewiora, "Potential-based shaping and Q-value initialization are equivalent," Journal of Artificial Intelligence Research, Vol. 19, pp. 205-208, 2003.</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[8] S. Koenig and R. G. Simmons, "The effect of representation and knowledge on goal-directed exploration with reinforcement-learning algorithms," Machine Learning, Vol. 22, pp. 227-250, 1996.</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[9] T. Rashid, B. Peng, W. Boehmer, and S. Whiteson, "Optimistic exploration even with a pessimistic initialisation," Proc. Int. Conf. on Learning Representations, 2020.</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[10] P. Henderson, R. Islam, P. Bachman, J. Pineau, D. Precup, and D. Meger, "Deep reinforcement learning that matters," Proc. AAAI Conf. on Artificial Intelligence, pp. 3207-3214, 2018.</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[11] C. Colas, O. Sigaud, and P.-Y. Oudeyer, "How many random seeds? Statistical power analysis in deep reinforcement learning experiments," arXiv:1806.08295, 2018.</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[12] R. Agarwal, M. Schwarzer, P. S. Castro, A. C. Courville, and M. G. Bellemare, "Deep reinforcement learning at the edge of the statistical precipice," Advances in Neural Information Processing Systems, pp. 29304-29320, 2021.</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[13] J. Kim, "PokerKit: A comprehensive Python library for fine-grained multi-variant poker game simulations," IEEE Trans. on Games, 2023.</w:t>
      </w:r>
    </w:p>
    <w:p>
      <w:pPr>
        <w:ind w:left="320" w:hanging="320"/>
        <w:jc w:val="both"/>
        <w:spacing w:after="40" w:before="0" w:line="312"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[14] R. S. Sutton and A. G. Barto, Reinforcement Learning: An Introduction, 2nd ed., MIT Press, 2018.</w:t>
      </w:r>
    </w:p>
    <w:p>
      <w:pPr>
        <w:jc w:val="center"/>
        <w:spacing w:after="120" w:before="0" w:line="312" w:lineRule="auto"/>
        <w:rPr>
          <w:rFonts w:ascii="HY신명조" w:eastAsia="HY신명조" w:hAnsi="HY신명조" w:cs="HY신명조" w:hint="default"/>
          <w:u w:color="auto"/>
        </w:rPr>
      </w:pPr>
      <w:r>
        <w:rPr>
          <w:rFonts w:ascii="HY신명조" w:eastAsia="HY신명조" w:hAnsi="HY신명조" w:cs="HY신명조"/>
          <w:b/>
          <w:i w:val="0"/>
          <w:w w:val="95"/>
          <w:sz w:val="24"/>
          <w:u w:color="auto"/>
          <w:spacing w:val="-12"/>
        </w:rPr>
        <w:t>저자소개</w:t>
      </w:r>
    </w:p>
    <w:p>
      <w:pPr>
        <w:jc w:val="both"/>
        <w:spacing w:after="4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[저자명] (Author Name)  [정회원]</w:t>
      </w:r>
    </w:p>
    <w:p>
      <w:pPr>
        <w:jc w:val="both"/>
        <w:spacing w:after="4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[학사/석사/박사 취득연월 및 학위명]</w:t>
      </w:r>
    </w:p>
    <w:p>
      <w:pPr>
        <w:jc w:val="both"/>
        <w:spacing w:after="4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[현 소속기관 및 직위]  E-mail : [e-mail]</w:t>
      </w:r>
    </w:p>
    <w:p>
      <w:pPr>
        <w:jc w:val="both"/>
        <w:spacing w:after="40" w:before="0" w:line="384" w:lineRule="auto"/>
        <w:rPr>
          <w:rFonts w:ascii="HY신명조" w:eastAsia="HY신명조" w:hAnsi="HY신명조" w:cs="HY신명조" w:hint="default"/>
          <w:u w:color="auto"/>
        </w:rPr>
      </w:pPr>
      <w:r>
        <w:rPr>
          <w:rFonts w:ascii="HY신명조" w:eastAsia="HY신명조" w:hAnsi="HY신명조" w:cs="HY신명조"/>
          <w:b w:val="0"/>
          <w:i w:val="0"/>
          <w:w w:val="95"/>
          <w:sz w:val="18"/>
          <w:u w:color="auto"/>
          <w:spacing w:val="-9"/>
        </w:rPr>
        <w:t>관심분야 : 강화학습, 게임 AI, 학습 동역학 분석</w:t>
      </w:r>
    </w:p>
    <w:sectPr>
      <w:type w:val="continuous"/>
      <w:pgSz w:w="10772" w:h="14740"/>
      <w:pgMar w:top="1134" w:right="1134" w:bottom="1134" w:left="1134" w:header="85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HY신명조">
    <w:panose1 w:val="02030600000101010101"/>
    <w:notTrueType w:val="false"/>
    <w:sig w:usb0="900002A7" w:usb1="29D77CF9" w:usb2="00000010" w:usb3="00000001" w:csb0="00080000" w:csb1="00000001"/>
  </w:font>
  <w:font w:name="신명조">
    <w:notTrueType w:val="false"/>
  </w:font>
  <w:font w:name="Courier">
    <w:charset w:val="00"/>
    <w:notTrueType w:val="false"/>
  </w:font>
  <w:font w:name="Symbol">
    <w:panose1 w:val="05050102010706020507"/>
    <w:family w:val="Symbol"/>
    <w:charset w:val="00"/>
    <w:notTrueType w:val="false"/>
    <w:sig w:usb0="00000001" w:usb1="00000001" w:usb2="00000001" w:usb3="00000001" w:csb0="80000000"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ListBullet"/>
      <w:pPr>
        <w:ind w:left="360" w:hanging="360"/>
        <w:tabs>
          <w:tab w:val="num" w:pos="360"/>
        </w:tabs>
      </w:pPr>
      <w:rPr>
        <w:rFonts w:ascii="Symbol" w:hAnsi="Symbol" w:hint="default"/>
      </w:rPr>
    </w:lvl>
  </w:abstractNum>
  <w:abstractNum w:abstractNumId="1">
    <w:nsid w:val="ffffff83"/>
    <w:multiLevelType w:val="singleLevel"/>
    <w:tmpl w:val="3d1effd4"/>
    <w:lvl w:ilvl="0">
      <w:start w:val="1"/>
      <w:numFmt w:val="bullet"/>
      <w:lvlText w:val=""/>
      <w:lvlJc w:val="left"/>
      <w:pStyle w:val="ListBullet2"/>
      <w:pPr>
        <w:ind w:left="720" w:hanging="360"/>
        <w:tabs>
          <w:tab w:val="num" w:pos="720"/>
        </w:tabs>
      </w:pPr>
      <w:rPr>
        <w:rFonts w:ascii="Symbol" w:hAnsi="Symbol" w:hint="default"/>
      </w:rPr>
    </w:lvl>
  </w:abstractNum>
  <w:abstractNum w:abstractNumId="2">
    <w:nsid w:val="ffffff82"/>
    <w:multiLevelType w:val="singleLevel"/>
    <w:tmpl w:val="f3eafdec"/>
    <w:lvl w:ilvl="0">
      <w:start w:val="1"/>
      <w:numFmt w:val="bullet"/>
      <w:lvlText w:val=""/>
      <w:lvlJc w:val="left"/>
      <w:pStyle w:val="ListBullet3"/>
      <w:pPr>
        <w:ind w:left="1080" w:hanging="360"/>
        <w:tabs>
          <w:tab w:val="num" w:pos="1080"/>
        </w:tabs>
      </w:pPr>
      <w:rPr>
        <w:rFonts w:ascii="Symbol" w:hAnsi="Symbol" w:hint="default"/>
      </w:rPr>
    </w:lvl>
  </w:abstractNum>
  <w:abstractNum w:abstractNumId="3">
    <w:nsid w:val="ffffff88"/>
    <w:multiLevelType w:val="singleLevel"/>
    <w:tmpl w:val="d0a62b40"/>
    <w:lvl w:ilvl="0">
      <w:start w:val="1"/>
      <w:lvlText w:val="%1."/>
      <w:lvlJc w:val="left"/>
      <w:pStyle w:val="ListNumber"/>
      <w:pPr>
        <w:ind w:left="360" w:hanging="360"/>
        <w:tabs>
          <w:tab w:val="num" w:pos="360"/>
        </w:tabs>
      </w:pPr>
    </w:lvl>
  </w:abstractNum>
  <w:abstractNum w:abstractNumId="4">
    <w:nsid w:val="ffffff7f"/>
    <w:multiLevelType w:val="singleLevel"/>
    <w:tmpl w:val="38441652"/>
    <w:lvl w:ilvl="0">
      <w:start w:val="1"/>
      <w:lvlText w:val="%1."/>
      <w:lvlJc w:val="left"/>
      <w:pStyle w:val="ListNumber2"/>
      <w:pPr>
        <w:ind w:left="720" w:hanging="360"/>
        <w:tabs>
          <w:tab w:val="num" w:pos="720"/>
        </w:tabs>
      </w:pPr>
    </w:lvl>
  </w:abstractNum>
  <w:abstractNum w:abstractNumId="5">
    <w:nsid w:val="ffffff7e"/>
    <w:multiLevelType w:val="singleLevel"/>
    <w:tmpl w:val="fb12693a"/>
    <w:lvl w:ilvl="0">
      <w:start w:val="1"/>
      <w:lvlText w:val="%1."/>
      <w:lvlJc w:val="left"/>
      <w:pStyle w:val="ListNumber3"/>
      <w:pPr>
        <w:ind w:left="1080" w:hanging="360"/>
        <w:tabs>
          <w:tab w:val="num" w:pos="1080"/>
        </w:tabs>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57"/>
    <w:lsdException w:name="toc 2" w:uiPriority="57"/>
    <w:lsdException w:name="toc 3" w:uiPriority="57"/>
    <w:lsdException w:name="toc 4" w:uiPriority="57"/>
    <w:lsdException w:name="toc 5" w:uiPriority="57"/>
    <w:lsdException w:name="toc 6" w:uiPriority="57"/>
    <w:lsdException w:name="toc 7" w:uiPriority="57"/>
    <w:lsdException w:name="toc 8" w:uiPriority="57"/>
    <w:lsdException w:name="toc 9" w:uiPriority="57"/>
    <w:lsdException w:name="caption" w:uiPriority="53" w:qFormat="1"/>
    <w:lsdException w:name="Title" w:semiHidden="0" w:uiPriority="16" w:unhideWhenUsed="0" w:qFormat="1"/>
    <w:lsdException w:name="Default Paragraph Font" w:uiPriority="1"/>
    <w:lsdException w:name="Subtitle" w:semiHidden="0" w:uiPriority="17" w:unhideWhenUsed="0" w:qFormat="1"/>
    <w:lsdException w:name="Strong" w:semiHidden="0" w:uiPriority="34" w:unhideWhenUsed="0" w:qFormat="1"/>
    <w:lsdException w:name="Emphasis" w:semiHidden="0" w:uiPriority="32" w:unhideWhenUsed="0" w:qFormat="1"/>
    <w:lsdException w:name="Table Grid" w:semiHidden="0" w:uiPriority="89" w:unhideWhenUsed="0"/>
    <w:lsdException w:name="Placeholder Text" w:unhideWhenUsed="0"/>
    <w:lsdException w:name="No Spacing" w:semiHidden="0" w:uiPriority="1" w:unhideWhenUsed="0" w:qFormat="1"/>
    <w:lsdException w:name="Light Shading" w:semiHidden="0" w:uiPriority="96" w:unhideWhenUsed="0"/>
    <w:lsdException w:name="Light List" w:semiHidden="0" w:uiPriority="97" w:unhideWhenUsed="0"/>
    <w:lsdException w:name="Light Grid" w:semiHidden="0" w:uiPriority="98" w:unhideWhenUsed="0"/>
    <w:lsdException w:name="Medium Shading 1" w:semiHidden="0" w:uiPriority="99" w:unhideWhenUsed="0"/>
    <w:lsdException w:name="Medium Shading 2" w:semiHidden="0" w:uiPriority="100" w:unhideWhenUsed="0"/>
    <w:lsdException w:name="Medium List 1" w:semiHidden="0" w:uiPriority="101" w:unhideWhenUsed="0"/>
    <w:lsdException w:name="Medium List 2" w:semiHidden="0" w:uiPriority="102" w:unhideWhenUsed="0"/>
    <w:lsdException w:name="Medium Grid 1" w:semiHidden="0" w:uiPriority="103" w:unhideWhenUsed="0"/>
    <w:lsdException w:name="Medium Grid 2" w:semiHidden="0" w:uiPriority="104" w:unhideWhenUsed="0"/>
    <w:lsdException w:name="Medium Grid 3" w:semiHidden="0" w:uiPriority="105" w:unhideWhenUsed="0"/>
    <w:lsdException w:name="Dark List" w:semiHidden="0" w:uiPriority="112" w:unhideWhenUsed="0"/>
    <w:lsdException w:name="Colorful Shading" w:semiHidden="0" w:uiPriority="113" w:unhideWhenUsed="0"/>
    <w:lsdException w:name="Colorful List" w:semiHidden="0" w:uiPriority="114" w:unhideWhenUsed="0"/>
    <w:lsdException w:name="Colorful Grid" w:semiHidden="0" w:uiPriority="115" w:unhideWhenUsed="0"/>
    <w:lsdException w:name="Light Shading Accent 1" w:semiHidden="0" w:uiPriority="96" w:unhideWhenUsed="0"/>
    <w:lsdException w:name="Light List Accent 1" w:semiHidden="0" w:uiPriority="97" w:unhideWhenUsed="0"/>
    <w:lsdException w:name="Light Grid Accent 1" w:semiHidden="0" w:uiPriority="98" w:unhideWhenUsed="0"/>
    <w:lsdException w:name="Medium Shading 1 Accent 1" w:semiHidden="0" w:uiPriority="99" w:unhideWhenUsed="0"/>
    <w:lsdException w:name="Medium Shading 2 Accent 1" w:semiHidden="0" w:uiPriority="100" w:unhideWhenUsed="0"/>
    <w:lsdException w:name="Medium List 1 Accent 1" w:semiHidden="0" w:uiPriority="101" w:unhideWhenUsed="0"/>
    <w:lsdException w:name="Revision" w:unhideWhenUsed="0"/>
    <w:lsdException w:name="List Paragraph" w:semiHidden="0" w:uiPriority="52" w:unhideWhenUsed="0" w:qFormat="1"/>
    <w:lsdException w:name="Quote" w:semiHidden="0" w:uiPriority="41" w:unhideWhenUsed="0" w:qFormat="1"/>
    <w:lsdException w:name="Intense Quote" w:semiHidden="0" w:uiPriority="48" w:unhideWhenUsed="0" w:qFormat="1"/>
    <w:lsdException w:name="Medium List 2 Accent 1" w:semiHidden="0" w:uiPriority="102" w:unhideWhenUsed="0"/>
    <w:lsdException w:name="Medium Grid 1 Accent 1" w:semiHidden="0" w:uiPriority="103" w:unhideWhenUsed="0"/>
    <w:lsdException w:name="Medium Grid 2 Accent 1" w:semiHidden="0" w:uiPriority="104" w:unhideWhenUsed="0"/>
    <w:lsdException w:name="Medium Grid 3 Accent 1" w:semiHidden="0" w:uiPriority="105" w:unhideWhenUsed="0"/>
    <w:lsdException w:name="Dark List Accent 1" w:semiHidden="0" w:uiPriority="112" w:unhideWhenUsed="0"/>
    <w:lsdException w:name="Colorful Shading Accent 1" w:semiHidden="0" w:uiPriority="113" w:unhideWhenUsed="0"/>
    <w:lsdException w:name="Colorful List Accent 1" w:semiHidden="0" w:uiPriority="114" w:unhideWhenUsed="0"/>
    <w:lsdException w:name="Colorful Grid Accent 1" w:semiHidden="0" w:uiPriority="115" w:unhideWhenUsed="0"/>
    <w:lsdException w:name="Light Shading Accent 2" w:semiHidden="0" w:uiPriority="96" w:unhideWhenUsed="0"/>
    <w:lsdException w:name="Light List Accent 2" w:semiHidden="0" w:uiPriority="97" w:unhideWhenUsed="0"/>
    <w:lsdException w:name="Light Grid Accent 2" w:semiHidden="0" w:uiPriority="98" w:unhideWhenUsed="0"/>
    <w:lsdException w:name="Medium Shading 1 Accent 2" w:semiHidden="0" w:uiPriority="99" w:unhideWhenUsed="0"/>
    <w:lsdException w:name="Medium Shading 2 Accent 2" w:semiHidden="0" w:uiPriority="100" w:unhideWhenUsed="0"/>
    <w:lsdException w:name="Medium List 1 Accent 2" w:semiHidden="0" w:uiPriority="101" w:unhideWhenUsed="0"/>
    <w:lsdException w:name="Medium List 2 Accent 2" w:semiHidden="0" w:uiPriority="102" w:unhideWhenUsed="0"/>
    <w:lsdException w:name="Medium Grid 1 Accent 2" w:semiHidden="0" w:uiPriority="103" w:unhideWhenUsed="0"/>
    <w:lsdException w:name="Medium Grid 2 Accent 2" w:semiHidden="0" w:uiPriority="104" w:unhideWhenUsed="0"/>
    <w:lsdException w:name="Medium Grid 3 Accent 2" w:semiHidden="0" w:uiPriority="105" w:unhideWhenUsed="0"/>
    <w:lsdException w:name="Dark List Accent 2" w:semiHidden="0" w:uiPriority="112" w:unhideWhenUsed="0"/>
    <w:lsdException w:name="Colorful Shading Accent 2" w:semiHidden="0" w:uiPriority="113" w:unhideWhenUsed="0"/>
    <w:lsdException w:name="Colorful List Accent 2" w:semiHidden="0" w:uiPriority="114" w:unhideWhenUsed="0"/>
    <w:lsdException w:name="Colorful Grid Accent 2" w:semiHidden="0" w:uiPriority="115" w:unhideWhenUsed="0"/>
    <w:lsdException w:name="Light Shading Accent 3" w:semiHidden="0" w:uiPriority="96" w:unhideWhenUsed="0"/>
    <w:lsdException w:name="Light List Accent 3" w:semiHidden="0" w:uiPriority="97" w:unhideWhenUsed="0"/>
    <w:lsdException w:name="Light Grid Accent 3" w:semiHidden="0" w:uiPriority="98" w:unhideWhenUsed="0"/>
    <w:lsdException w:name="Medium Shading 1 Accent 3" w:semiHidden="0" w:uiPriority="99" w:unhideWhenUsed="0"/>
    <w:lsdException w:name="Medium Shading 2 Accent 3" w:semiHidden="0" w:uiPriority="100" w:unhideWhenUsed="0"/>
    <w:lsdException w:name="Medium List 1 Accent 3" w:semiHidden="0" w:uiPriority="101" w:unhideWhenUsed="0"/>
    <w:lsdException w:name="Medium List 2 Accent 3" w:semiHidden="0" w:uiPriority="102" w:unhideWhenUsed="0"/>
    <w:lsdException w:name="Medium Grid 1 Accent 3" w:semiHidden="0" w:uiPriority="103" w:unhideWhenUsed="0"/>
    <w:lsdException w:name="Medium Grid 2 Accent 3" w:semiHidden="0" w:uiPriority="104" w:unhideWhenUsed="0"/>
    <w:lsdException w:name="Medium Grid 3 Accent 3" w:semiHidden="0" w:uiPriority="105" w:unhideWhenUsed="0"/>
    <w:lsdException w:name="Dark List Accent 3" w:semiHidden="0" w:uiPriority="112" w:unhideWhenUsed="0"/>
    <w:lsdException w:name="Colorful Shading Accent 3" w:semiHidden="0" w:uiPriority="113" w:unhideWhenUsed="0"/>
    <w:lsdException w:name="Colorful List Accent 3" w:semiHidden="0" w:uiPriority="114" w:unhideWhenUsed="0"/>
    <w:lsdException w:name="Colorful Grid Accent 3" w:semiHidden="0" w:uiPriority="115" w:unhideWhenUsed="0"/>
    <w:lsdException w:name="Light Shading Accent 4" w:semiHidden="0" w:uiPriority="96" w:unhideWhenUsed="0"/>
    <w:lsdException w:name="Light List Accent 4" w:semiHidden="0" w:uiPriority="97" w:unhideWhenUsed="0"/>
    <w:lsdException w:name="Light Grid Accent 4" w:semiHidden="0" w:uiPriority="98" w:unhideWhenUsed="0"/>
    <w:lsdException w:name="Medium Shading 1 Accent 4" w:semiHidden="0" w:uiPriority="99" w:unhideWhenUsed="0"/>
    <w:lsdException w:name="Medium Shading 2 Accent 4" w:semiHidden="0" w:uiPriority="100" w:unhideWhenUsed="0"/>
    <w:lsdException w:name="Medium List 1 Accent 4" w:semiHidden="0" w:uiPriority="101" w:unhideWhenUsed="0"/>
    <w:lsdException w:name="Medium List 2 Accent 4" w:semiHidden="0" w:uiPriority="102" w:unhideWhenUsed="0"/>
    <w:lsdException w:name="Medium Grid 1 Accent 4" w:semiHidden="0" w:uiPriority="103" w:unhideWhenUsed="0"/>
    <w:lsdException w:name="Medium Grid 2 Accent 4" w:semiHidden="0" w:uiPriority="104" w:unhideWhenUsed="0"/>
    <w:lsdException w:name="Medium Grid 3 Accent 4" w:semiHidden="0" w:uiPriority="105" w:unhideWhenUsed="0"/>
    <w:lsdException w:name="Dark List Accent 4" w:semiHidden="0" w:uiPriority="112" w:unhideWhenUsed="0"/>
    <w:lsdException w:name="Colorful Shading Accent 4" w:semiHidden="0" w:uiPriority="113" w:unhideWhenUsed="0"/>
    <w:lsdException w:name="Colorful List Accent 4" w:semiHidden="0" w:uiPriority="114" w:unhideWhenUsed="0"/>
    <w:lsdException w:name="Colorful Grid Accent 4" w:semiHidden="0" w:uiPriority="115" w:unhideWhenUsed="0"/>
    <w:lsdException w:name="Light Shading Accent 5" w:semiHidden="0" w:uiPriority="96" w:unhideWhenUsed="0"/>
    <w:lsdException w:name="Light List Accent 5" w:semiHidden="0" w:uiPriority="97" w:unhideWhenUsed="0"/>
    <w:lsdException w:name="Light Grid Accent 5" w:semiHidden="0" w:uiPriority="98" w:unhideWhenUsed="0"/>
    <w:lsdException w:name="Medium Shading 1 Accent 5" w:semiHidden="0" w:uiPriority="99" w:unhideWhenUsed="0"/>
    <w:lsdException w:name="Medium Shading 2 Accent 5" w:semiHidden="0" w:uiPriority="100" w:unhideWhenUsed="0"/>
    <w:lsdException w:name="Medium List 1 Accent 5" w:semiHidden="0" w:uiPriority="101" w:unhideWhenUsed="0"/>
    <w:lsdException w:name="Medium List 2 Accent 5" w:semiHidden="0" w:uiPriority="102" w:unhideWhenUsed="0"/>
    <w:lsdException w:name="Medium Grid 1 Accent 5" w:semiHidden="0" w:uiPriority="103" w:unhideWhenUsed="0"/>
    <w:lsdException w:name="Medium Grid 2 Accent 5" w:semiHidden="0" w:uiPriority="104" w:unhideWhenUsed="0"/>
    <w:lsdException w:name="Medium Grid 3 Accent 5" w:semiHidden="0" w:uiPriority="105" w:unhideWhenUsed="0"/>
    <w:lsdException w:name="Dark List Accent 5" w:semiHidden="0" w:uiPriority="112" w:unhideWhenUsed="0"/>
    <w:lsdException w:name="Colorful Shading Accent 5" w:semiHidden="0" w:uiPriority="113" w:unhideWhenUsed="0"/>
    <w:lsdException w:name="Colorful List Accent 5" w:semiHidden="0" w:uiPriority="114" w:unhideWhenUsed="0"/>
    <w:lsdException w:name="Colorful Grid Accent 5" w:semiHidden="0" w:uiPriority="115" w:unhideWhenUsed="0"/>
    <w:lsdException w:name="Light Shading Accent 6" w:semiHidden="0" w:uiPriority="96" w:unhideWhenUsed="0"/>
    <w:lsdException w:name="Light List Accent 6" w:semiHidden="0" w:uiPriority="97" w:unhideWhenUsed="0"/>
    <w:lsdException w:name="Light Grid Accent 6" w:semiHidden="0" w:uiPriority="98" w:unhideWhenUsed="0"/>
    <w:lsdException w:name="Medium Shading 1 Accent 6" w:semiHidden="0" w:uiPriority="99" w:unhideWhenUsed="0"/>
    <w:lsdException w:name="Medium Shading 2 Accent 6" w:semiHidden="0" w:uiPriority="100" w:unhideWhenUsed="0"/>
    <w:lsdException w:name="Medium List 1 Accent 6" w:semiHidden="0" w:uiPriority="101" w:unhideWhenUsed="0"/>
    <w:lsdException w:name="Medium List 2 Accent 6" w:semiHidden="0" w:uiPriority="102" w:unhideWhenUsed="0"/>
    <w:lsdException w:name="Medium Grid 1 Accent 6" w:semiHidden="0" w:uiPriority="103" w:unhideWhenUsed="0"/>
    <w:lsdException w:name="Medium Grid 2 Accent 6" w:semiHidden="0" w:uiPriority="104" w:unhideWhenUsed="0"/>
    <w:lsdException w:name="Medium Grid 3 Accent 6" w:semiHidden="0" w:uiPriority="105" w:unhideWhenUsed="0"/>
    <w:lsdException w:name="Dark List Accent 6" w:semiHidden="0" w:uiPriority="112" w:unhideWhenUsed="0"/>
    <w:lsdException w:name="Colorful Shading Accent 6" w:semiHidden="0" w:uiPriority="113" w:unhideWhenUsed="0"/>
    <w:lsdException w:name="Colorful List Accent 6" w:semiHidden="0" w:uiPriority="114" w:unhideWhenUsed="0"/>
    <w:lsdException w:name="Colorful Grid Accent 6" w:semiHidden="0" w:uiPriority="115" w:unhideWhenUsed="0"/>
    <w:lsdException w:name="Subtle Emphasis" w:semiHidden="0" w:uiPriority="25" w:unhideWhenUsed="0" w:qFormat="1"/>
    <w:lsdException w:name="Intense Emphasis" w:semiHidden="0" w:uiPriority="33" w:unhideWhenUsed="0" w:qFormat="1"/>
    <w:lsdException w:name="Subtle Reference" w:semiHidden="0" w:uiPriority="49" w:unhideWhenUsed="0" w:qFormat="1"/>
    <w:lsdException w:name="Intense Reference" w:semiHidden="0" w:uiPriority="50" w:unhideWhenUsed="0" w:qFormat="1"/>
    <w:lsdException w:name="Book Title" w:semiHidden="0" w:uiPriority="51" w:unhideWhenUsed="0" w:qFormat="1"/>
    <w:lsdException w:name="Bibliography" w:uiPriority="55"/>
    <w:lsdException w:name="TOC Heading" w:uiPriority="57" w:qFormat="1"/>
  </w:latentStyles>
  <w:style w:type="paragraph" w:default="1" w:styleId="Normal">
    <w:name w:val="Normal"/>
    <w:qFormat/>
    <w:pPr>
      <w:spacing w:line="384" w:lineRule="auto"/>
    </w:pPr>
    <w:rPr>
      <w:rFonts w:ascii="신명조" w:eastAsia="신명조" w:hAnsi="신명조"/>
      <w:sz w:val="18"/>
    </w:rPr>
  </w:style>
  <w:style w:type="paragraph" w:customStyle="1" w:styleId="Header">
    <w:name w:val="header"/>
    <w:uiPriority w:val="99"/>
    <w:basedOn w:val="Normal"/>
    <w:link w:val="HeaderChar"/>
    <w:unhideWhenUsed/>
    <w:pPr>
      <w:tabs>
        <w:tab w:val="center" w:pos="4680"/>
        <w:tab w:val="right" w:pos="9360"/>
      </w:tabs>
      <w:spacing w:after="0" w:line="240" w:lineRule="auto"/>
    </w:pPr>
  </w:style>
  <w:style w:type="character" w:customStyle="1" w:styleId="HeaderChar">
    <w:name w:val="Header Char"/>
    <w:uiPriority w:val="99"/>
    <w:basedOn w:val="DefaultParagraphFont"/>
    <w:link w:val="Header"/>
  </w:style>
  <w:style w:type="paragraph" w:customStyle="1" w:styleId="Footer">
    <w:name w:val="footer"/>
    <w:uiPriority w:val="99"/>
    <w:basedOn w:val="Normal"/>
    <w:link w:val="FooterChar"/>
    <w:unhideWhenUsed/>
    <w:pPr>
      <w:tabs>
        <w:tab w:val="center" w:pos="4680"/>
        <w:tab w:val="right" w:pos="9360"/>
      </w:tabs>
      <w:spacing w:after="0" w:line="240" w:lineRule="auto"/>
    </w:pPr>
  </w:style>
  <w:style w:type="character" w:customStyle="1" w:styleId="FooterChar">
    <w:name w:val="Footer Char"/>
    <w:uiPriority w:val="99"/>
    <w:basedOn w:val="DefaultParagraphFont"/>
    <w:link w:val="Footer"/>
  </w:style>
  <w:style w:type="paragraph" w:styleId="Heading1">
    <w:name w:val="heading 1"/>
    <w:uiPriority w:val="9"/>
    <w:basedOn w:val="Normal"/>
    <w:next w:val="Normal"/>
    <w:link w:val="Heading1Char"/>
    <w:qFormat/>
    <w:pPr>
      <w:keepNext/>
      <w:keepLines/>
      <w:outlineLvl w:val="0"/>
      <w:spacing w:after="0" w:before="480"/>
    </w:pPr>
    <w:rPr>
      <w:rFonts w:asciiTheme="majorHAnsi" w:eastAsiaTheme="majorEastAsia" w:hAnsiTheme="majorHAnsi" w:cstheme="majorBidi"/>
      <w:b/>
      <w:bCs/>
      <w:color w:val="376092"/>
      <w:sz w:val="28"/>
      <w:szCs w:val="28"/>
    </w:rPr>
  </w:style>
  <w:style w:type="paragraph" w:styleId="Heading2">
    <w:name w:val="heading 2"/>
    <w:uiPriority w:val="9"/>
    <w:basedOn w:val="Normal"/>
    <w:next w:val="Normal"/>
    <w:link w:val="Heading2Char"/>
    <w:qFormat/>
    <w:unhideWhenUsed/>
    <w:pPr>
      <w:keepNext/>
      <w:keepLines/>
      <w:outlineLvl w:val="1"/>
      <w:spacing w:after="0" w:before="200"/>
    </w:pPr>
    <w:rPr>
      <w:rFonts w:asciiTheme="majorHAnsi" w:eastAsiaTheme="majorEastAsia" w:hAnsiTheme="majorHAnsi" w:cstheme="majorBidi"/>
      <w:b/>
      <w:bCs/>
      <w:color w:val="4F81BD"/>
      <w:sz w:val="26"/>
      <w:szCs w:val="26"/>
    </w:rPr>
  </w:style>
  <w:style w:type="paragraph" w:styleId="Heading3">
    <w:name w:val="heading 3"/>
    <w:uiPriority w:val="9"/>
    <w:basedOn w:val="Normal"/>
    <w:next w:val="Normal"/>
    <w:link w:val="Heading3Char"/>
    <w:qFormat/>
    <w:unhideWhenUsed/>
    <w:pPr>
      <w:keepNext/>
      <w:keepLines/>
      <w:outlineLvl w:val="2"/>
      <w:spacing w:after="0" w:before="200"/>
    </w:pPr>
    <w:rPr>
      <w:rFonts w:asciiTheme="majorHAnsi" w:eastAsiaTheme="majorEastAsia" w:hAnsiTheme="majorHAnsi" w:cstheme="majorBidi"/>
      <w:b/>
      <w:bCs/>
      <w:color w:val="4F81BD"/>
    </w:rPr>
  </w:style>
  <w:style w:type="paragraph" w:styleId="Heading4">
    <w:name w:val="heading 4"/>
    <w:uiPriority w:val="9"/>
    <w:basedOn w:val="Normal"/>
    <w:next w:val="Normal"/>
    <w:link w:val="Heading4Char"/>
    <w:qFormat/>
    <w:semiHidden/>
    <w:unhideWhenUsed/>
    <w:pPr>
      <w:keepNext/>
      <w:keepLines/>
      <w:outlineLvl w:val="3"/>
      <w:spacing w:after="0" w:before="200"/>
    </w:pPr>
    <w:rPr>
      <w:rFonts w:asciiTheme="majorHAnsi" w:eastAsiaTheme="majorEastAsia" w:hAnsiTheme="majorHAnsi" w:cstheme="majorBidi"/>
      <w:b/>
      <w:bCs/>
      <w:i/>
      <w:iCs/>
      <w:color w:val="4F81BD"/>
    </w:rPr>
  </w:style>
  <w:style w:type="paragraph" w:styleId="Heading5">
    <w:name w:val="heading 5"/>
    <w:uiPriority w:val="9"/>
    <w:basedOn w:val="Normal"/>
    <w:next w:val="Normal"/>
    <w:link w:val="Heading5Char"/>
    <w:qFormat/>
    <w:semiHidden/>
    <w:unhideWhenUsed/>
    <w:pPr>
      <w:keepNext/>
      <w:keepLines/>
      <w:outlineLvl w:val="4"/>
      <w:spacing w:after="0" w:before="200"/>
    </w:pPr>
    <w:rPr>
      <w:rFonts w:asciiTheme="majorHAnsi" w:eastAsiaTheme="majorEastAsia" w:hAnsiTheme="majorHAnsi" w:cstheme="majorBidi"/>
      <w:color w:val="244061"/>
    </w:rPr>
  </w:style>
  <w:style w:type="paragraph" w:styleId="Heading6">
    <w:name w:val="heading 6"/>
    <w:uiPriority w:val="9"/>
    <w:basedOn w:val="Normal"/>
    <w:next w:val="Normal"/>
    <w:link w:val="Heading6Char"/>
    <w:qFormat/>
    <w:semiHidden/>
    <w:unhideWhenUsed/>
    <w:pPr>
      <w:keepNext/>
      <w:keepLines/>
      <w:outlineLvl w:val="5"/>
      <w:spacing w:after="0" w:before="200"/>
    </w:pPr>
    <w:rPr>
      <w:rFonts w:asciiTheme="majorHAnsi" w:eastAsiaTheme="majorEastAsia" w:hAnsiTheme="majorHAnsi" w:cstheme="majorBidi"/>
      <w:i/>
      <w:iCs/>
      <w:color w:val="244061"/>
    </w:rPr>
  </w:style>
  <w:style w:type="paragraph" w:styleId="Heading7">
    <w:name w:val="heading 7"/>
    <w:uiPriority w:val="9"/>
    <w:basedOn w:val="Normal"/>
    <w:next w:val="Normal"/>
    <w:link w:val="Heading7Char"/>
    <w:qFormat/>
    <w:semiHidden/>
    <w:unhideWhenUsed/>
    <w:pPr>
      <w:keepNext/>
      <w:keepLines/>
      <w:outlineLvl w:val="6"/>
      <w:spacing w:after="0" w:before="200"/>
    </w:pPr>
    <w:rPr>
      <w:rFonts w:asciiTheme="majorHAnsi" w:eastAsiaTheme="majorEastAsia" w:hAnsiTheme="majorHAnsi" w:cstheme="majorBidi"/>
      <w:i/>
      <w:iCs/>
      <w:color w:val="3F3F3F"/>
    </w:rPr>
  </w:style>
  <w:style w:type="paragraph" w:styleId="Heading8">
    <w:name w:val="heading 8"/>
    <w:uiPriority w:val="9"/>
    <w:basedOn w:val="Normal"/>
    <w:next w:val="Normal"/>
    <w:link w:val="Heading8Char"/>
    <w:qFormat/>
    <w:semiHidden/>
    <w:unhideWhenUsed/>
    <w:pPr>
      <w:keepNext/>
      <w:keepLines/>
      <w:outlineLvl w:val="7"/>
      <w:spacing w:after="0" w:before="200"/>
    </w:pPr>
    <w:rPr>
      <w:rFonts w:asciiTheme="majorHAnsi" w:eastAsiaTheme="majorEastAsia" w:hAnsiTheme="majorHAnsi" w:cstheme="majorBidi"/>
      <w:color w:val="4F81BD"/>
      <w:sz w:val="20"/>
      <w:szCs w:val="20"/>
    </w:rPr>
  </w:style>
  <w:style w:type="paragraph" w:styleId="Heading9">
    <w:name w:val="heading 9"/>
    <w:uiPriority w:val="9"/>
    <w:basedOn w:val="Normal"/>
    <w:next w:val="Normal"/>
    <w:link w:val="Heading9Char"/>
    <w:qFormat/>
    <w:semiHidden/>
    <w:unhideWhenUsed/>
    <w:pPr>
      <w:keepNext/>
      <w:keepLines/>
      <w:outlineLvl w:val="8"/>
      <w:spacing w:after="0" w:before="200"/>
    </w:pPr>
    <w:rPr>
      <w:rFonts w:asciiTheme="majorHAnsi" w:eastAsiaTheme="majorEastAsia" w:hAnsiTheme="majorHAnsi" w:cstheme="majorBidi"/>
      <w:i/>
      <w:iCs/>
      <w:color w:val="3F3F3F"/>
      <w:sz w:val="20"/>
      <w:szCs w:val="20"/>
    </w:rPr>
  </w:style>
  <w:style w:type="character" w:default="1" w:styleId="DefaultParagraphFont">
    <w:name w:val="Default Paragraph Font"/>
    <w:uiPriority w:val="1"/>
    <w:semiHidden/>
    <w:unhideWhenUsed/>
  </w:style>
  <w:style w:type="table" w:customStyle="1" w:styleId="TableNormal">
    <w:name w:val="Normal Table"/>
    <w:uiPriority w:val="99"/>
    <w:semiHidden/>
    <w:unhideWhenUsed/>
    <w:tblPr>
      <w:tblInd w:w="0" w:type="dxa"/>
      <w:tblCellMar>
        <w:top w:w="0" w:type="dxa"/>
        <w:left w:w="108" w:type="dxa"/>
        <w:bottom w:w="0" w:type="dxa"/>
        <w:right w:w="108" w:type="dxa"/>
      </w:tblCellMar>
    </w:tblPr>
  </w:style>
  <w:style w:type="numbering" w:customStyle="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uiPriority w:val="9"/>
    <w:basedOn w:val="DefaultParagraphFont"/>
    <w:link w:val="Heading1"/>
    <w:rPr>
      <w:rFonts w:asciiTheme="majorHAnsi" w:eastAsiaTheme="majorEastAsia" w:hAnsiTheme="majorHAnsi" w:cstheme="majorBidi"/>
      <w:b/>
      <w:bCs/>
      <w:color w:val="376092"/>
      <w:sz w:val="28"/>
      <w:szCs w:val="28"/>
    </w:rPr>
  </w:style>
  <w:style w:type="character" w:customStyle="1" w:styleId="Heading2Char">
    <w:name w:val="Heading 2 Char"/>
    <w:uiPriority w:val="9"/>
    <w:basedOn w:val="DefaultParagraphFont"/>
    <w:link w:val="Heading2"/>
    <w:rPr>
      <w:rFonts w:asciiTheme="majorHAnsi" w:eastAsiaTheme="majorEastAsia" w:hAnsiTheme="majorHAnsi" w:cstheme="majorBidi"/>
      <w:b/>
      <w:bCs/>
      <w:color w:val="4F81BD"/>
      <w:sz w:val="26"/>
      <w:szCs w:val="26"/>
    </w:rPr>
  </w:style>
  <w:style w:type="character" w:customStyle="1" w:styleId="Heading3Char">
    <w:name w:val="Heading 3 Char"/>
    <w:uiPriority w:val="9"/>
    <w:basedOn w:val="DefaultParagraphFont"/>
    <w:link w:val="Heading3"/>
    <w:rPr>
      <w:rFonts w:asciiTheme="majorHAnsi" w:eastAsiaTheme="majorEastAsia" w:hAnsiTheme="majorHAnsi" w:cstheme="majorBidi"/>
      <w:b/>
      <w:bCs/>
      <w:color w:val="4F81BD"/>
    </w:rPr>
  </w:style>
  <w:style w:type="paragraph" w:styleId="Title">
    <w:name w:val="Title"/>
    <w:uiPriority w:val="10"/>
    <w:basedOn w:val="Normal"/>
    <w:next w:val="Normal"/>
    <w:link w:val="TitleChar"/>
    <w:qFormat/>
    <w:pPr>
      <w:contextualSpacing/>
      <w:pBdr>
        <w:bottom w:val="single" w:sz="8" w:space="4" w:color="4F81BD" w:themeColor="accent1"/>
      </w:pBdr>
      <w:spacing w:after="300" w:line="240" w:lineRule="auto"/>
    </w:pPr>
    <w:rPr>
      <w:rFonts w:asciiTheme="majorHAnsi" w:eastAsiaTheme="majorEastAsia" w:hAnsiTheme="majorHAnsi" w:cstheme="majorBidi"/>
      <w:color w:val="17375E"/>
      <w:sz w:val="52"/>
      <w:szCs w:val="52"/>
      <w:kern w:val="28"/>
      <w:spacing w:val="5"/>
    </w:rPr>
  </w:style>
  <w:style w:type="character" w:customStyle="1" w:styleId="TitleChar">
    <w:name w:val="Title Char"/>
    <w:uiPriority w:val="10"/>
    <w:basedOn w:val="DefaultParagraphFont"/>
    <w:link w:val="Title"/>
    <w:rPr>
      <w:rFonts w:asciiTheme="majorHAnsi" w:eastAsiaTheme="majorEastAsia" w:hAnsiTheme="majorHAnsi" w:cstheme="majorBidi"/>
      <w:color w:val="17375E"/>
      <w:sz w:val="52"/>
      <w:szCs w:val="52"/>
      <w:kern w:val="28"/>
      <w:spacing w:val="5"/>
    </w:rPr>
  </w:style>
  <w:style w:type="paragraph" w:styleId="Subtitle">
    <w:name w:val="Subtitle"/>
    <w:uiPriority w:val="11"/>
    <w:basedOn w:val="Normal"/>
    <w:next w:val="Normal"/>
    <w:link w:val="SubtitleChar"/>
    <w:qFormat/>
    <w:pPr>
      <w:numPr>
        <w:ilvl w:val="1"/>
      </w:numPr>
    </w:pPr>
    <w:rPr>
      <w:rFonts w:asciiTheme="majorHAnsi" w:eastAsiaTheme="majorEastAsia" w:hAnsiTheme="majorHAnsi" w:cstheme="majorBidi"/>
      <w:i/>
      <w:iCs/>
      <w:color w:val="4F81BD"/>
      <w:sz w:val="24"/>
      <w:szCs w:val="24"/>
      <w:spacing w:val="15"/>
    </w:rPr>
  </w:style>
  <w:style w:type="character" w:customStyle="1" w:styleId="SubtitleChar">
    <w:name w:val="Subtitle Char"/>
    <w:uiPriority w:val="11"/>
    <w:basedOn w:val="DefaultParagraphFont"/>
    <w:link w:val="Subtitle"/>
    <w:rPr>
      <w:rFonts w:asciiTheme="majorHAnsi" w:eastAsiaTheme="majorEastAsia" w:hAnsiTheme="majorHAnsi" w:cstheme="majorBidi"/>
      <w:i/>
      <w:iCs/>
      <w:color w:val="4F81BD"/>
      <w:sz w:val="24"/>
      <w:szCs w:val="24"/>
      <w:spacing w:val="15"/>
    </w:rPr>
  </w:style>
  <w:style w:type="paragraph" w:styleId="ListParagraph">
    <w:name w:val="List Paragraph"/>
    <w:uiPriority w:val="34"/>
    <w:basedOn w:val="Normal"/>
    <w:qFormat/>
    <w:pPr>
      <w:ind w:left="720"/>
      <w:contextualSpacing/>
    </w:pPr>
  </w:style>
  <w:style w:type="paragraph" w:customStyle="1" w:styleId="BodyText">
    <w:name w:val="Body Text"/>
    <w:uiPriority w:val="99"/>
    <w:basedOn w:val="Normal"/>
    <w:link w:val="BodyTextChar"/>
    <w:unhideWhenUsed/>
    <w:pPr>
      <w:spacing w:after="120"/>
    </w:pPr>
  </w:style>
  <w:style w:type="character" w:customStyle="1" w:styleId="BodyTextChar">
    <w:name w:val="Body Text Char"/>
    <w:uiPriority w:val="99"/>
    <w:basedOn w:val="DefaultParagraphFont"/>
    <w:link w:val="BodyText"/>
  </w:style>
  <w:style w:type="paragraph" w:customStyle="1" w:styleId="BodyText2">
    <w:name w:val="Body Text 2"/>
    <w:uiPriority w:val="99"/>
    <w:basedOn w:val="Normal"/>
    <w:link w:val="BodyText2Char"/>
    <w:unhideWhenUsed/>
    <w:pPr>
      <w:spacing w:after="120" w:line="480" w:lineRule="auto"/>
    </w:pPr>
  </w:style>
  <w:style w:type="character" w:customStyle="1" w:styleId="BodyText2Char">
    <w:name w:val="Body Text 2 Char"/>
    <w:uiPriority w:val="99"/>
    <w:basedOn w:val="DefaultParagraphFont"/>
    <w:link w:val="BodyText2"/>
  </w:style>
  <w:style w:type="paragraph" w:customStyle="1" w:styleId="BodyText3">
    <w:name w:val="Body Text 3"/>
    <w:uiPriority w:val="99"/>
    <w:basedOn w:val="Normal"/>
    <w:link w:val="BodyText3Char"/>
    <w:unhideWhenUsed/>
    <w:pPr>
      <w:spacing w:after="120"/>
    </w:pPr>
    <w:rPr>
      <w:sz w:val="16"/>
      <w:szCs w:val="16"/>
    </w:rPr>
  </w:style>
  <w:style w:type="character" w:customStyle="1" w:styleId="BodyText3Char">
    <w:name w:val="Body Text 3 Char"/>
    <w:uiPriority w:val="99"/>
    <w:basedOn w:val="DefaultParagraphFont"/>
    <w:link w:val="BodyText3"/>
    <w:rPr>
      <w:sz w:val="16"/>
      <w:szCs w:val="16"/>
    </w:rPr>
  </w:style>
  <w:style w:type="paragraph" w:customStyle="1" w:styleId="List">
    <w:name w:val="List"/>
    <w:uiPriority w:val="99"/>
    <w:basedOn w:val="Normal"/>
    <w:unhideWhenUsed/>
    <w:pPr>
      <w:ind w:left="360" w:hanging="360"/>
      <w:contextualSpacing/>
    </w:pPr>
  </w:style>
  <w:style w:type="paragraph" w:customStyle="1" w:styleId="List2">
    <w:name w:val="List 2"/>
    <w:uiPriority w:val="99"/>
    <w:basedOn w:val="Normal"/>
    <w:unhideWhenUsed/>
    <w:pPr>
      <w:ind w:left="720" w:hanging="360"/>
      <w:contextualSpacing/>
    </w:pPr>
  </w:style>
  <w:style w:type="paragraph" w:customStyle="1" w:styleId="List3">
    <w:name w:val="List 3"/>
    <w:uiPriority w:val="99"/>
    <w:basedOn w:val="Normal"/>
    <w:unhideWhenUsed/>
    <w:pPr>
      <w:ind w:left="1080" w:hanging="360"/>
      <w:contextualSpacing/>
    </w:pPr>
  </w:style>
  <w:style w:type="paragraph" w:customStyle="1" w:styleId="ListBullet">
    <w:name w:val="List Bullet"/>
    <w:uiPriority w:val="99"/>
    <w:basedOn w:val="Normal"/>
    <w:unhideWhenUsed/>
    <w:pPr>
      <w:contextualSpacing/>
      <w:numPr>
        <w:numId w:val="1"/>
      </w:numPr>
    </w:pPr>
  </w:style>
  <w:style w:type="paragraph" w:customStyle="1" w:styleId="ListBullet2">
    <w:name w:val="List Bullet 2"/>
    <w:uiPriority w:val="99"/>
    <w:basedOn w:val="Normal"/>
    <w:unhideWhenUsed/>
    <w:pPr>
      <w:contextualSpacing/>
      <w:numPr>
        <w:numId w:val="2"/>
      </w:numPr>
    </w:pPr>
  </w:style>
  <w:style w:type="paragraph" w:customStyle="1" w:styleId="ListBullet3">
    <w:name w:val="List Bullet 3"/>
    <w:uiPriority w:val="99"/>
    <w:basedOn w:val="Normal"/>
    <w:unhideWhenUsed/>
    <w:pPr>
      <w:contextualSpacing/>
      <w:numPr>
        <w:numId w:val="3"/>
      </w:numPr>
    </w:pPr>
  </w:style>
  <w:style w:type="paragraph" w:customStyle="1" w:styleId="ListNumber">
    <w:name w:val="List Number"/>
    <w:uiPriority w:val="99"/>
    <w:basedOn w:val="Normal"/>
    <w:unhideWhenUsed/>
    <w:pPr>
      <w:contextualSpacing/>
      <w:numPr>
        <w:numId w:val="4"/>
      </w:numPr>
    </w:pPr>
  </w:style>
  <w:style w:type="paragraph" w:customStyle="1" w:styleId="ListNumber2">
    <w:name w:val="List Number 2"/>
    <w:uiPriority w:val="99"/>
    <w:basedOn w:val="Normal"/>
    <w:unhideWhenUsed/>
    <w:pPr>
      <w:contextualSpacing/>
      <w:numPr>
        <w:numId w:val="5"/>
      </w:numPr>
    </w:pPr>
  </w:style>
  <w:style w:type="paragraph" w:customStyle="1" w:styleId="ListNumber3">
    <w:name w:val="List Number 3"/>
    <w:uiPriority w:val="99"/>
    <w:basedOn w:val="Normal"/>
    <w:unhideWhenUsed/>
    <w:pPr>
      <w:contextualSpacing/>
      <w:numPr>
        <w:numId w:val="6"/>
      </w:numPr>
    </w:pPr>
  </w:style>
  <w:style w:type="paragraph" w:customStyle="1" w:styleId="ListContinue">
    <w:name w:val="List Continue"/>
    <w:uiPriority w:val="99"/>
    <w:basedOn w:val="Normal"/>
    <w:unhideWhenUsed/>
    <w:pPr>
      <w:ind w:left="360"/>
      <w:contextualSpacing/>
      <w:spacing w:after="120"/>
    </w:pPr>
  </w:style>
  <w:style w:type="paragraph" w:customStyle="1" w:styleId="ListContinue2">
    <w:name w:val="List Continue 2"/>
    <w:uiPriority w:val="99"/>
    <w:basedOn w:val="Normal"/>
    <w:unhideWhenUsed/>
    <w:pPr>
      <w:ind w:left="720"/>
      <w:contextualSpacing/>
      <w:spacing w:after="120"/>
    </w:pPr>
  </w:style>
  <w:style w:type="paragraph" w:customStyle="1" w:styleId="ListContinue3">
    <w:name w:val="List Continue 3"/>
    <w:uiPriority w:val="99"/>
    <w:basedOn w:val="Normal"/>
    <w:unhideWhenUsed/>
    <w:pPr>
      <w:ind w:left="1080"/>
      <w:contextualSpacing/>
      <w:spacing w:after="120"/>
    </w:pPr>
  </w:style>
  <w:style w:type="paragraph" w:customStyle="1" w:styleId="MacroText">
    <w:name w:val="macro"/>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DefaultParagraphFont"/>
    <w:link w:val="MacroText"/>
    <w:rPr>
      <w:rFonts w:ascii="Courier" w:hAnsi="Courier"/>
      <w:sz w:val="20"/>
      <w:szCs w:val="20"/>
    </w:rPr>
  </w:style>
  <w:style w:type="paragraph" w:styleId="Quote">
    <w:name w:val="Quote"/>
    <w:uiPriority w:val="29"/>
    <w:basedOn w:val="Normal"/>
    <w:next w:val="Normal"/>
    <w:link w:val="QuoteChar"/>
    <w:qFormat/>
    <w:rPr>
      <w:i/>
      <w:iCs/>
      <w:color w:val="000000"/>
    </w:rPr>
  </w:style>
  <w:style w:type="character" w:customStyle="1" w:styleId="QuoteChar">
    <w:name w:val="Quote Char"/>
    <w:uiPriority w:val="29"/>
    <w:basedOn w:val="DefaultParagraphFont"/>
    <w:link w:val="Quote"/>
    <w:rPr>
      <w:i/>
      <w:iCs/>
      <w:color w:val="000000"/>
    </w:rPr>
  </w:style>
  <w:style w:type="character" w:customStyle="1" w:styleId="Heading4Char">
    <w:name w:val="Heading 4 Char"/>
    <w:uiPriority w:val="9"/>
    <w:basedOn w:val="DefaultParagraphFont"/>
    <w:link w:val="Heading4"/>
    <w:semiHidden/>
    <w:rPr>
      <w:rFonts w:asciiTheme="majorHAnsi" w:eastAsiaTheme="majorEastAsia" w:hAnsiTheme="majorHAnsi" w:cstheme="majorBidi"/>
      <w:b/>
      <w:bCs/>
      <w:i/>
      <w:iCs/>
      <w:color w:val="4F81BD"/>
    </w:rPr>
  </w:style>
  <w:style w:type="character" w:customStyle="1" w:styleId="Heading5Char">
    <w:name w:val="Heading 5 Char"/>
    <w:uiPriority w:val="9"/>
    <w:basedOn w:val="DefaultParagraphFont"/>
    <w:link w:val="Heading5"/>
    <w:semiHidden/>
    <w:rPr>
      <w:rFonts w:asciiTheme="majorHAnsi" w:eastAsiaTheme="majorEastAsia" w:hAnsiTheme="majorHAnsi" w:cstheme="majorBidi"/>
      <w:color w:val="244061"/>
    </w:rPr>
  </w:style>
  <w:style w:type="character" w:customStyle="1" w:styleId="Heading6Char">
    <w:name w:val="Heading 6 Char"/>
    <w:uiPriority w:val="9"/>
    <w:basedOn w:val="DefaultParagraphFont"/>
    <w:link w:val="Heading6"/>
    <w:semiHidden/>
    <w:rPr>
      <w:rFonts w:asciiTheme="majorHAnsi" w:eastAsiaTheme="majorEastAsia" w:hAnsiTheme="majorHAnsi" w:cstheme="majorBidi"/>
      <w:i/>
      <w:iCs/>
      <w:color w:val="244061"/>
    </w:rPr>
  </w:style>
  <w:style w:type="character" w:customStyle="1" w:styleId="Heading7Char">
    <w:name w:val="Heading 7 Char"/>
    <w:uiPriority w:val="9"/>
    <w:basedOn w:val="DefaultParagraphFont"/>
    <w:link w:val="Heading7"/>
    <w:semiHidden/>
    <w:rPr>
      <w:rFonts w:asciiTheme="majorHAnsi" w:eastAsiaTheme="majorEastAsia" w:hAnsiTheme="majorHAnsi" w:cstheme="majorBidi"/>
      <w:i/>
      <w:iCs/>
      <w:color w:val="3F3F3F"/>
    </w:rPr>
  </w:style>
  <w:style w:type="character" w:customStyle="1" w:styleId="Heading8Char">
    <w:name w:val="Heading 8 Char"/>
    <w:uiPriority w:val="9"/>
    <w:basedOn w:val="DefaultParagraphFont"/>
    <w:link w:val="Heading8"/>
    <w:semiHidden/>
    <w:rPr>
      <w:rFonts w:asciiTheme="majorHAnsi" w:eastAsiaTheme="majorEastAsia" w:hAnsiTheme="majorHAnsi" w:cstheme="majorBidi"/>
      <w:color w:val="4F81BD"/>
      <w:sz w:val="20"/>
      <w:szCs w:val="20"/>
    </w:rPr>
  </w:style>
  <w:style w:type="character" w:customStyle="1" w:styleId="Heading9Char">
    <w:name w:val="Heading 9 Char"/>
    <w:uiPriority w:val="9"/>
    <w:basedOn w:val="DefaultParagraphFont"/>
    <w:link w:val="Heading9"/>
    <w:semiHidden/>
    <w:rPr>
      <w:rFonts w:asciiTheme="majorHAnsi" w:eastAsiaTheme="majorEastAsia" w:hAnsiTheme="majorHAnsi" w:cstheme="majorBidi"/>
      <w:i/>
      <w:iCs/>
      <w:color w:val="3F3F3F"/>
      <w:sz w:val="20"/>
      <w:szCs w:val="20"/>
    </w:rPr>
  </w:style>
  <w:style w:type="paragraph" w:styleId="Caption">
    <w:name w:val="caption"/>
    <w:uiPriority w:val="35"/>
    <w:basedOn w:val="Normal"/>
    <w:next w:val="Normal"/>
    <w:qFormat/>
    <w:semiHidden/>
    <w:unhideWhenUsed/>
    <w:pPr>
      <w:spacing w:line="240" w:lineRule="auto"/>
    </w:pPr>
    <w:rPr>
      <w:b/>
      <w:bCs/>
      <w:color w:val="4F81BD"/>
      <w:sz w:val="18"/>
      <w:szCs w:val="18"/>
    </w:rPr>
  </w:style>
  <w:style w:type="character" w:styleId="Strong">
    <w:name w:val="Strong"/>
    <w:uiPriority w:val="22"/>
    <w:basedOn w:val="DefaultParagraphFont"/>
    <w:qFormat/>
    <w:rPr>
      <w:b/>
      <w:bCs/>
    </w:rPr>
  </w:style>
  <w:style w:type="character" w:styleId="Emphasis">
    <w:name w:val="Emphasis"/>
    <w:uiPriority w:val="20"/>
    <w:basedOn w:val="DefaultParagraphFont"/>
    <w:qFormat/>
    <w:rPr>
      <w:i/>
      <w:iCs/>
    </w:rPr>
  </w:style>
  <w:style w:type="paragraph" w:styleId="IntenseQuote">
    <w:name w:val="Intense Quote"/>
    <w:uiPriority w:val="30"/>
    <w:basedOn w:val="Normal"/>
    <w:next w:val="Normal"/>
    <w:link w:val="IntenseQuoteChar"/>
    <w:qFormat/>
    <w:pPr>
      <w:ind w:left="936" w:right="936"/>
      <w:pBdr>
        <w:bottom w:val="single" w:sz="4" w:space="4" w:color="4F81BD" w:themeColor="accent1"/>
      </w:pBdr>
      <w:spacing w:after="280" w:before="200"/>
    </w:pPr>
    <w:rPr>
      <w:b/>
      <w:bCs/>
      <w:i/>
      <w:iCs/>
      <w:color w:val="4F81BD"/>
    </w:rPr>
  </w:style>
  <w:style w:type="character" w:customStyle="1" w:styleId="IntenseQuoteChar">
    <w:name w:val="Intense Quote Char"/>
    <w:uiPriority w:val="30"/>
    <w:basedOn w:val="DefaultParagraphFont"/>
    <w:link w:val="IntenseQuote"/>
    <w:rPr>
      <w:b/>
      <w:bCs/>
      <w:i/>
      <w:iCs/>
      <w:color w:val="4F81BD"/>
    </w:rPr>
  </w:style>
  <w:style w:type="character" w:styleId="SubtleEmphasis">
    <w:name w:val="Subtle Emphasis"/>
    <w:uiPriority w:val="19"/>
    <w:basedOn w:val="DefaultParagraphFont"/>
    <w:qFormat/>
    <w:rPr>
      <w:i/>
      <w:iCs/>
      <w:color w:val="7F7F7F"/>
    </w:rPr>
  </w:style>
  <w:style w:type="character" w:styleId="IntenseEmphasis">
    <w:name w:val="Intense Emphasis"/>
    <w:uiPriority w:val="21"/>
    <w:basedOn w:val="DefaultParagraphFont"/>
    <w:qFormat/>
    <w:rPr>
      <w:b/>
      <w:bCs/>
      <w:i/>
      <w:iCs/>
      <w:color w:val="4F81BD"/>
    </w:rPr>
  </w:style>
  <w:style w:type="character" w:styleId="SubtleReference">
    <w:name w:val="Subtle Reference"/>
    <w:uiPriority w:val="31"/>
    <w:basedOn w:val="DefaultParagraphFont"/>
    <w:qFormat/>
    <w:rPr>
      <w:smallCaps/>
      <w:color w:val="C0504D"/>
      <w:u w:val="single" w:color="auto"/>
    </w:rPr>
  </w:style>
  <w:style w:type="character" w:styleId="IntenseReference">
    <w:name w:val="Intense Reference"/>
    <w:uiPriority w:val="32"/>
    <w:basedOn w:val="DefaultParagraphFont"/>
    <w:qFormat/>
    <w:rPr>
      <w:b/>
      <w:bCs/>
      <w:smallCaps/>
      <w:color w:val="C0504D"/>
      <w:u w:val="single" w:color="auto"/>
      <w:spacing w:val="5"/>
    </w:rPr>
  </w:style>
  <w:style w:type="character" w:styleId="BookTitle">
    <w:name w:val="Book Title"/>
    <w:uiPriority w:val="33"/>
    <w:basedOn w:val="DefaultParagraphFont"/>
    <w:qFormat/>
    <w:rPr>
      <w:b/>
      <w:bCs/>
      <w:smallCaps/>
      <w:spacing w:val="5"/>
    </w:rPr>
  </w:style>
  <w:style w:type="paragraph" w:styleId="TOCHeading">
    <w:name w:val="TOC Heading"/>
    <w:uiPriority w:val="39"/>
    <w:basedOn w:val="Heading1"/>
    <w:next w:val="Normal"/>
    <w:qFormat/>
    <w:semiHidden/>
    <w:unhideWhenUsed/>
    <w:pPr>
      <w:outlineLvl w:val="9"/>
    </w:pPr>
  </w:style>
  <w:style w:type="table" w:styleId="TableGrid">
    <w:name w:val="Table Grid"/>
    <w:uiPriority w:val="59"/>
    <w:basedOn w:val="TableNormal"/>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uiPriority w:val="60"/>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LightShading-Accent1">
    <w:name w:val="Light Shading Accent 1"/>
    <w:uiPriority w:val="60"/>
    <w:basedOn w:val="TableNormal"/>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uiPriority w:val="60"/>
    <w:basedOn w:val="TableNormal"/>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LightShading-Accent3">
    <w:name w:val="Light Shading Accent 3"/>
    <w:uiPriority w:val="60"/>
    <w:basedOn w:val="TableNormal"/>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uiPriority w:val="60"/>
    <w:basedOn w:val="TableNormal"/>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uiPriority w:val="60"/>
    <w:basedOn w:val="TableNormal"/>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LightShading-Accent6">
    <w:name w:val="Light Shading Accent 6"/>
    <w:uiPriority w:val="60"/>
    <w:basedOn w:val="TableNormal"/>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LightList">
    <w:name w:val="Light List"/>
    <w:uiPriority w:val="61"/>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text1"/>
      </w:tcPr>
    </w:tblStylePr>
    <w:tblStylePr w:type="lastRow">
      <w:pPr>
        <w:spacing w:after="0" w:before="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uiPriority w:val="61"/>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uiPriority w:val="61"/>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uiPriority w:val="61"/>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uiPriority w:val="61"/>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uiPriority w:val="61"/>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uiPriority w:val="61"/>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uiPriority w:val="62"/>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FBFBF"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BFBFBF"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uiPriority w:val="62"/>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uiPriority w:val="62"/>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uiPriority w:val="62"/>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uiPriority w:val="62"/>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uiPriority w:val="62"/>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0"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0"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uiPriority w:val="62"/>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5D1"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5D1"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uiPriority w:val="63"/>
    <w:basedOn w:val="TableNormal"/>
    <w:pPr>
      <w:spacing w:after="0" w:line="240" w:lineRule="auto"/>
    </w:pPr>
    <w:tblPr>
      <w:tblInd w:w="0" w:type="dxa"/>
      <w:tblBorders>
        <w:top w:val="single" w:sz="8" w:space="0" w:color="3F3F3F" w:themeColor="text1" w:themeTint="bf"/>
        <w:left w:val="single" w:sz="8" w:space="0" w:color="3F3F3F" w:themeColor="text1" w:themeTint="bf"/>
        <w:bottom w:val="single" w:sz="8" w:space="0" w:color="3F3F3F" w:themeColor="text1" w:themeTint="bf"/>
        <w:right w:val="single" w:sz="8" w:space="0" w:color="3F3F3F" w:themeColor="text1" w:themeTint="bf"/>
        <w:insideH w:val="single" w:sz="8" w:space="0" w:color="3F3F3F" w:themeColor="tex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3F3F3F" w:themeColor="text1" w:themeTint="bf"/>
          <w:left w:val="single" w:sz="8" w:space="0" w:color="3F3F3F" w:themeColor="text1" w:themeTint="bf"/>
          <w:bottom w:val="single" w:sz="8" w:space="0" w:color="3F3F3F" w:themeColor="text1" w:themeTint="bf"/>
          <w:right w:val="single" w:sz="8" w:space="0" w:color="3F3F3F" w:themeColor="text1" w:themeTint="bf"/>
          <w:insideH w:val="nil"/>
          <w:insideV w:val="nil"/>
        </w:tcBorders>
        <w:shd w:val="clear" w:color="auto" w:fill="000000" w:themeFill="text1"/>
      </w:tcPr>
    </w:tblStylePr>
    <w:tblStylePr w:type="lastRow">
      <w:pPr>
        <w:spacing w:after="0" w:before="0" w:line="240" w:lineRule="auto"/>
      </w:pPr>
      <w:rPr>
        <w:b/>
        <w:bCs/>
      </w:rPr>
      <w:tblPr/>
      <w:tcPr>
        <w:tcBorders>
          <w:top w:val="double" w:sz="6" w:space="0" w:color="3F3F3F" w:themeColor="text1" w:themeTint="bf"/>
          <w:left w:val="single" w:sz="8" w:space="0" w:color="3F3F3F" w:themeColor="text1" w:themeTint="bf"/>
          <w:bottom w:val="single" w:sz="8" w:space="0" w:color="3F3F3F" w:themeColor="text1" w:themeTint="bf"/>
          <w:right w:val="single" w:sz="8" w:space="0" w:color="3F3F3F" w:themeColor="text1" w:themeTint="bf"/>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MediumShading1-Accent1">
    <w:name w:val="Medium Shading 1 Accent 1"/>
    <w:uiPriority w:val="63"/>
    <w:basedOn w:val="TableNormal"/>
    <w:pPr>
      <w:spacing w:after="0" w:line="240" w:lineRule="auto"/>
    </w:pPr>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uiPriority w:val="63"/>
    <w:basedOn w:val="TableNormal"/>
    <w:pPr>
      <w:spacing w:after="0" w:line="240" w:lineRule="auto"/>
    </w:pPr>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MediumShading1-Accent3">
    <w:name w:val="Medium Shading 1 Accent 3"/>
    <w:uiPriority w:val="63"/>
    <w:basedOn w:val="TableNormal"/>
    <w:pPr>
      <w:spacing w:after="0" w:line="240" w:lineRule="auto"/>
    </w:pPr>
    <w:tblPr>
      <w:tblInd w:w="0" w:type="dxa"/>
      <w:tbl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single" w:sz="8" w:space="0" w:color="B4CC82"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uiPriority w:val="63"/>
    <w:basedOn w:val="TableNormal"/>
    <w:pPr>
      <w:spacing w:after="0" w:line="240" w:lineRule="auto"/>
    </w:pPr>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uiPriority w:val="63"/>
    <w:basedOn w:val="TableNormal"/>
    <w:pPr>
      <w:spacing w:after="0" w:line="240" w:lineRule="auto"/>
    </w:pPr>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MediumShading1-Accent6">
    <w:name w:val="Medium Shading 1 Accent 6"/>
    <w:uiPriority w:val="63"/>
    <w:basedOn w:val="TableNormal"/>
    <w:pPr>
      <w:spacing w:after="0" w:line="240" w:lineRule="auto"/>
    </w:pPr>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MediumShading2">
    <w:name w:val="Medium Shading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uiPriority w:val="65"/>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MediumList1-Accent1">
    <w:name w:val="Medium List 1 Accent 1"/>
    <w:uiPriority w:val="65"/>
    <w:basedOn w:val="TableNormal"/>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uiPriority w:val="65"/>
    <w:basedOn w:val="TableNormal"/>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MediumList1-Accent3">
    <w:name w:val="Medium List 1 Accent 3"/>
    <w:uiPriority w:val="65"/>
    <w:basedOn w:val="TableNormal"/>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uiPriority w:val="65"/>
    <w:basedOn w:val="TableNormal"/>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uiPriority w:val="65"/>
    <w:basedOn w:val="TableNormal"/>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MediumList1-Accent6">
    <w:name w:val="Medium List 1 Accent 6"/>
    <w:uiPriority w:val="65"/>
    <w:basedOn w:val="TableNormal"/>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MediumList2">
    <w:name w:val="Medium Lis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uiPriority w:val="67"/>
    <w:basedOn w:val="TableNormal"/>
    <w:pPr>
      <w:spacing w:after="0" w:line="240" w:lineRule="auto"/>
    </w:pPr>
    <w:tblPr>
      <w:tblInd w:w="0" w:type="dxa"/>
      <w:tblBorders>
        <w:top w:val="single" w:sz="8" w:space="0" w:color="3F3F3F" w:themeColor="text1" w:themeTint="bf"/>
        <w:left w:val="single" w:sz="8" w:space="0" w:color="3F3F3F" w:themeColor="text1" w:themeTint="bf"/>
        <w:bottom w:val="single" w:sz="8" w:space="0" w:color="3F3F3F" w:themeColor="text1" w:themeTint="bf"/>
        <w:right w:val="single" w:sz="8" w:space="0" w:color="3F3F3F" w:themeColor="text1" w:themeTint="bf"/>
        <w:insideH w:val="single" w:sz="8" w:space="0" w:color="3F3F3F" w:themeColor="text1" w:themeTint="bf"/>
        <w:insideV w:val="single" w:sz="8" w:space="0" w:color="3F3F3F" w:themeColor="text1" w:themeTint="bf"/>
      </w:tblBorders>
      <w:tblCellMar>
        <w:top w:w="0" w:type="dxa"/>
        <w:left w:w="108" w:type="dxa"/>
        <w:bottom w:w="0" w:type="dxa"/>
        <w:right w:w="108" w:type="dxa"/>
      </w:tblCellMar>
      <w:tblStyleColBandSize w:val="1"/>
      <w:tblStyleRowBandSize w:val="1"/>
    </w:tblPr>
    <w:tcPr>
      <w:shd w:val="clear" w:color="auto" w:fill="BFBFBF" w:themeFill="text1" w:themeFillTint="3f"/>
    </w:tcPr>
    <w:tblStylePr w:type="firstRow">
      <w:rPr>
        <w:b/>
        <w:bCs/>
      </w:rPr>
    </w:tblStylePr>
    <w:tblStylePr w:type="lastRow">
      <w:rPr>
        <w:b/>
        <w:bCs/>
      </w:rPr>
      <w:tblPr/>
      <w:tcPr>
        <w:tcBorders>
          <w:top w:val="single" w:sz="18" w:space="0" w:color="3F3F3F" w:themeColor="text1" w:themeTint="bf"/>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MediumGrid1-Accent1">
    <w:name w:val="Medium Grid 1 Accent 1"/>
    <w:uiPriority w:val="67"/>
    <w:basedOn w:val="TableNormal"/>
    <w:pPr>
      <w:spacing w:after="0" w:line="240" w:lineRule="auto"/>
    </w:pPr>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MediumGrid1-Accent2">
    <w:name w:val="Medium Grid 1 Accent 2"/>
    <w:uiPriority w:val="67"/>
    <w:basedOn w:val="TableNormal"/>
    <w:pPr>
      <w:spacing w:after="0" w:line="240" w:lineRule="auto"/>
    </w:pPr>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uiPriority w:val="67"/>
    <w:basedOn w:val="TableNormal"/>
    <w:pPr>
      <w:spacing w:after="0" w:line="240" w:lineRule="auto"/>
    </w:pPr>
    <w:tblPr>
      <w:tblInd w:w="0" w:type="dxa"/>
      <w:tbl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single" w:sz="8" w:space="0" w:color="B4CC82" w:themeColor="accent3" w:themeTint="bf"/>
        <w:insideV w:val="single" w:sz="8" w:space="0" w:color="B4CC82" w:themeColor="accent3" w:themeTint="bf"/>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rPr>
    </w:tblStylePr>
    <w:tblStylePr w:type="lastRow">
      <w:rPr>
        <w:b/>
        <w:bCs/>
      </w:rPr>
      <w:tblPr/>
      <w:tcPr>
        <w:tcBorders>
          <w:top w:val="single" w:sz="18" w:space="0" w:color="B4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uiPriority w:val="67"/>
    <w:basedOn w:val="TableNormal"/>
    <w:pPr>
      <w:spacing w:after="0" w:line="240" w:lineRule="auto"/>
    </w:pPr>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uiPriority w:val="67"/>
    <w:basedOn w:val="TableNormal"/>
    <w:pPr>
      <w:spacing w:after="0" w:line="240" w:lineRule="auto"/>
    </w:pPr>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uiPriority w:val="67"/>
    <w:basedOn w:val="TableNormal"/>
    <w:pPr>
      <w:spacing w:after="0" w:line="240" w:lineRule="auto"/>
    </w:pPr>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cPr>
      <w:shd w:val="clear" w:color="auto" w:fill="BFBFBF" w:themeFill="text1" w:themeFillTint="3f"/>
    </w:tcPr>
    <w:tblStylePr w:type="firstRow">
      <w:rPr>
        <w:b/>
        <w:bCs/>
        <w:color w:val="000000"/>
      </w:rPr>
      <w:tblPr/>
      <w:tcPr>
        <w:shd w:val="clear" w:color="auto" w:fill="E5E5E5"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BCBCB" w:themeFill="text1" w:themeFillTint="33"/>
      </w:tcPr>
    </w:tblStylePr>
    <w:tblStylePr w:type="band1Vert">
      <w:tblPr/>
      <w:tcPr>
        <w:shd w:val="clear" w:color="auto" w:fill="7F7F7F" w:themeFill="text1" w:themeFillTint="7f"/>
      </w:tcPr>
    </w:tblStylePr>
    <w:tblStylePr w:type="band1Horz">
      <w:tblPr/>
      <w:tcPr>
        <w:tcBorders>
          <w:insideH w:val="single" w:sz="6" w:space="0" w:color="000000" w:themeColor="text1"/>
          <w:insideV w:val="single" w:sz="6" w:space="0" w:color="000000" w:themeColor="text1"/>
        </w:tcBorders>
        <w:shd w:val="clear" w:color="auto" w:fill="7F7F7F" w:themeFill="text1" w:themeFillTint="7f"/>
      </w:tcPr>
    </w:tblStylePr>
    <w:tblStylePr w:type="nwCell">
      <w:tblPr/>
      <w:tcPr>
        <w:shd w:val="clear" w:color="auto" w:fill="FFFFFF" w:themeFill="background1"/>
      </w:tcPr>
    </w:tblStylePr>
  </w:style>
  <w:style w:type="table" w:styleId="MediumGrid2-Accent1">
    <w:name w:val="Medium Grid 2 Accent 1"/>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C0DE" w:themeFill="accent1" w:themeFillTint="7f"/>
      </w:tcPr>
    </w:tblStylePr>
    <w:tblStylePr w:type="nwCell">
      <w:tblPr/>
      <w:tcPr>
        <w:shd w:val="clear" w:color="auto" w:fill="FFFFFF" w:themeFill="background1"/>
      </w:tcPr>
    </w:tblStylePr>
  </w:style>
  <w:style w:type="table" w:styleId="MediumGrid2-Accent2">
    <w:name w:val="Medium Grid 2 Accent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B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E0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A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BFBFBF"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F7F7F"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F7F7F" w:themeFill="text1" w:themeFillTint="7f"/>
      </w:tcPr>
    </w:tblStylePr>
  </w:style>
  <w:style w:type="table" w:styleId="MediumGrid3-Accent1">
    <w:name w:val="Medium Grid 3 Accent 1"/>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C0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C0DE" w:themeFill="accent1" w:themeFillTint="7f"/>
      </w:tcPr>
    </w:tblStylePr>
  </w:style>
  <w:style w:type="table" w:styleId="MediumGrid3-Accent2">
    <w:name w:val="Medium Grid 3 Accent 2"/>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609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DarkList-Accent2">
    <w:name w:val="Dark List Accent 2"/>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373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DarkList-Accent3">
    <w:name w:val="Dark List Accent 3"/>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3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DarkList-Accent4">
    <w:name w:val="Dark List Accent 4"/>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04A7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DarkList-Accent5">
    <w:name w:val="Dark List Accent 5"/>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5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DarkList-Accent6">
    <w:name w:val="Dark List Accent 6"/>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ColorfulShading">
    <w:name w:val="Colorful Shading"/>
    <w:uiPriority w:val="71"/>
    <w:basedOn w:val="TableNormal"/>
    <w:pPr>
      <w:spacing w:after="0" w:line="240" w:lineRule="auto"/>
    </w:pPr>
    <w:rPr>
      <w:color w:val="000000"/>
    </w:rPr>
    <w:tblPr>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E5E5E5"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89898" w:themeFill="text1" w:themeFillTint="66"/>
      </w:tcPr>
    </w:tblStylePr>
    <w:tblStylePr w:type="band1Horz">
      <w:tblPr/>
      <w:tcPr>
        <w:shd w:val="clear" w:color="auto" w:fill="7F7F7F" w:themeFill="text1" w:themeFillTint="7f"/>
      </w:tcPr>
    </w:tblStylePr>
    <w:tblStylePr w:type="neCell">
      <w:rPr>
        <w:color w:val="000000"/>
      </w:rPr>
    </w:tblStylePr>
    <w:tblStylePr w:type="nwCell">
      <w:rPr>
        <w:color w:val="000000"/>
      </w:rPr>
    </w:tblStylePr>
  </w:style>
  <w:style w:type="table" w:styleId="ColorfulShading-Accent1">
    <w:name w:val="Colorful Shading Accent 1"/>
    <w:uiPriority w:val="71"/>
    <w:basedOn w:val="TableNormal"/>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ColorfulShading-Accent2">
    <w:name w:val="Colorful Shading Accent 2"/>
    <w:uiPriority w:val="71"/>
    <w:basedOn w:val="TableNormal"/>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9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uiPriority w:val="71"/>
    <w:basedOn w:val="TableNormal"/>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7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uiPriority w:val="71"/>
    <w:basedOn w:val="TableNormal"/>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2EFF5"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CCC1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uiPriority w:val="71"/>
    <w:basedOn w:val="TableNormal"/>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7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uiPriority w:val="71"/>
    <w:basedOn w:val="TableNormal"/>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BD5B5"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5E5E5" w:themeFill="tex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BCBCB" w:themeFill="text1" w:themeFillTint="33"/>
      </w:tcPr>
    </w:tblStylePr>
  </w:style>
  <w:style w:type="table" w:styleId="ColorfulList-Accent1">
    <w:name w:val="Colorful List Accent 1"/>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ColorfulList-Accent3">
    <w:name w:val="Colorful List Accent 3"/>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F83"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BF1DD" w:themeFill="accent3" w:themeFillTint="33"/>
      </w:tcPr>
    </w:tblStylePr>
  </w:style>
  <w:style w:type="table" w:styleId="ColorfulList-Accent4">
    <w:name w:val="Colorful List Accent 4"/>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2EFF5" w:themeFill="accent4" w:themeFillTint="19"/>
    </w:tcPr>
    <w:tblStylePr w:type="firstRow">
      <w:rPr>
        <w:b/>
        <w:bCs/>
        <w:color w:val="FFFFFF"/>
      </w:rPr>
      <w:tblPr/>
      <w:tcPr>
        <w:tcBorders>
          <w:bottom w:val="single" w:sz="12" w:space="0" w:color="FFFFFF" w:themeColor="background1"/>
        </w:tcBorders>
        <w:shd w:val="clear" w:color="auto" w:fill="7E9D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E0EC" w:themeFill="accent4" w:themeFillTint="33"/>
      </w:tcPr>
    </w:tblStylePr>
  </w:style>
  <w:style w:type="table" w:styleId="ColorfulList-Accent5">
    <w:name w:val="Colorful List Accent 5"/>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3740B"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ColorfulList-Accent6">
    <w:name w:val="Colorful List Accent 6"/>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58EA6"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AD9" w:themeFill="accent6" w:themeFillTint="33"/>
      </w:tcPr>
    </w:tblStylePr>
  </w:style>
  <w:style w:type="table" w:styleId="ColorfulGrid">
    <w:name w:val="Colorful Grid"/>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CBCBCB" w:themeFill="text1" w:themeFillTint="33"/>
    </w:tcPr>
    <w:tblStylePr w:type="firstRow">
      <w:rPr>
        <w:b/>
        <w:bCs/>
      </w:rPr>
      <w:tblPr/>
      <w:tcPr>
        <w:shd w:val="clear" w:color="auto" w:fill="989898" w:themeFill="text1" w:themeFillTint="66"/>
      </w:tcPr>
    </w:tblStylePr>
    <w:tblStylePr w:type="lastRow">
      <w:rPr>
        <w:b/>
        <w:bCs/>
        <w:color w:val="000000"/>
      </w:rPr>
      <w:tblPr/>
      <w:tcPr>
        <w:shd w:val="clear" w:color="auto" w:fill="989898"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ColorfulGrid-Accent1">
    <w:name w:val="Colorful Grid Accent 1"/>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ColorfulGrid-Accent2">
    <w:name w:val="Colorful Grid Accent 2"/>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2DBDB" w:themeFill="accent2" w:themeFillTint="33"/>
    </w:tcPr>
    <w:tblStylePr w:type="firstRow">
      <w:rPr>
        <w:b/>
        <w:bCs/>
      </w:rPr>
      <w:tblPr/>
      <w:tcPr>
        <w:shd w:val="clear" w:color="auto" w:fill="E5B9B7" w:themeFill="accent2" w:themeFillTint="66"/>
      </w:tcPr>
    </w:tblStylePr>
    <w:tblStylePr w:type="lastRow">
      <w:rPr>
        <w:b/>
        <w:bCs/>
        <w:color w:val="000000"/>
      </w:rPr>
      <w:tblPr/>
      <w:tcPr>
        <w:shd w:val="clear" w:color="auto" w:fill="E5B9B7"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BF1DD" w:themeFill="accent3" w:themeFillTint="33"/>
    </w:tcPr>
    <w:tblStylePr w:type="firstRow">
      <w:rPr>
        <w:b/>
        <w:bCs/>
      </w:rPr>
      <w:tblPr/>
      <w:tcPr>
        <w:shd w:val="clear" w:color="auto" w:fill="D7E3BC" w:themeFill="accent3" w:themeFillTint="66"/>
      </w:tcPr>
    </w:tblStylePr>
    <w:tblStylePr w:type="lastRow">
      <w:rPr>
        <w:b/>
        <w:bCs/>
        <w:color w:val="000000"/>
      </w:rPr>
      <w:tblPr/>
      <w:tcPr>
        <w:shd w:val="clear" w:color="auto" w:fill="D7E3BC"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5E0EC" w:themeFill="accent4" w:themeFillTint="33"/>
    </w:tcPr>
    <w:tblStylePr w:type="firstRow">
      <w:rPr>
        <w:b/>
        <w:bCs/>
      </w:rPr>
      <w:tblPr/>
      <w:tcPr>
        <w:shd w:val="clear" w:color="auto" w:fill="CCC1D9" w:themeFill="accent4" w:themeFillTint="66"/>
      </w:tcPr>
    </w:tblStylePr>
    <w:tblStylePr w:type="lastRow">
      <w:rPr>
        <w:b/>
        <w:bCs/>
        <w:color w:val="000000"/>
      </w:rPr>
      <w:tblPr/>
      <w:tcPr>
        <w:shd w:val="clear" w:color="auto" w:fill="CCC1D9"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DAEEF3" w:themeFill="accent5" w:themeFillTint="33"/>
    </w:tcPr>
    <w:tblStylePr w:type="firstRow">
      <w:rPr>
        <w:b/>
        <w:bCs/>
      </w:rPr>
      <w:tblPr/>
      <w:tcPr>
        <w:shd w:val="clear" w:color="auto" w:fill="B7DDE8" w:themeFill="accent5" w:themeFillTint="66"/>
      </w:tcPr>
    </w:tblStylePr>
    <w:tblStylePr w:type="lastRow">
      <w:rPr>
        <w:b/>
        <w:bCs/>
        <w:color w:val="000000"/>
      </w:rPr>
      <w:tblPr/>
      <w:tcPr>
        <w:shd w:val="clear" w:color="auto" w:fill="B7DDE8"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DEAD9" w:themeFill="accent6" w:themeFillTint="33"/>
    </w:tcPr>
    <w:tblStylePr w:type="firstRow">
      <w:rPr>
        <w:b/>
        <w:bCs/>
      </w:rPr>
      <w:tblPr/>
      <w:tcPr>
        <w:shd w:val="clear" w:color="auto" w:fill="FBD5B5" w:themeFill="accent6" w:themeFillTint="66"/>
      </w:tcPr>
    </w:tblStylePr>
    <w:tblStylePr w:type="lastRow">
      <w:rPr>
        <w:b/>
        <w:bCs/>
        <w:color w:val="000000"/>
      </w:rPr>
      <w:tblPr/>
      <w:tcPr>
        <w:shd w:val="clear" w:color="auto" w:fill="FBD5B5"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301</cp:lastModifiedBy>
  <cp:revision>1</cp:revision>
  <dcterms:created xsi:type="dcterms:W3CDTF">2013-12-23T23:15:00Z</dcterms:created>
  <dcterms:modified xsi:type="dcterms:W3CDTF">2026-06-26T07:57:18Z</dcterms:modified>
  <cp:version>1200.0100.01</cp:version>
</cp:coreProperties>
</file>