
<file path=[Content_Types].xml><?xml version="1.0" encoding="utf-8"?>
<Types xmlns="http://schemas.openxmlformats.org/package/2006/content-types">
  <Default Extension="xlsx" ContentType="application/vnd.openxmlformats-officedocument.spreadsheetml.shee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2.xml" ContentType="application/vnd.openxmlformats-officedocument.themeOverride+xml"/>
  <Override PartName="/word/theme/themeOverride3.xml" ContentType="application/vnd.openxmlformats-officedocument.themeOverride+xml"/>
  <Override PartName="/word/theme/themeOverride4.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E059B6">
      <w:pPr>
        <w:pStyle w:val="2"/>
        <w:bidi w:val="0"/>
        <w:rPr>
          <w:rFonts w:hint="eastAsia"/>
          <w:lang w:val="en-US" w:eastAsia="zh-CN"/>
        </w:rPr>
      </w:pPr>
      <w:r>
        <w:rPr>
          <w:rFonts w:hint="eastAsia"/>
          <w:lang w:val="en-US" w:eastAsia="zh-CN"/>
        </w:rPr>
        <w:t>园区微电网储能配置的经济性分析——以50kw/100kw储能系统为例</w:t>
      </w:r>
    </w:p>
    <w:p w14:paraId="1256754D">
      <w:pPr>
        <w:pStyle w:val="3"/>
        <w:bidi w:val="0"/>
        <w:rPr>
          <w:rFonts w:hint="eastAsia"/>
          <w:lang w:val="en-US" w:eastAsia="zh-CN"/>
        </w:rPr>
      </w:pPr>
      <w:r>
        <w:rPr>
          <w:rFonts w:hint="eastAsia"/>
          <w:lang w:val="en-US" w:eastAsia="zh-CN"/>
        </w:rPr>
        <w:t xml:space="preserve">  目录</w:t>
      </w:r>
    </w:p>
    <w:p w14:paraId="2B3DD248">
      <w:pPr>
        <w:pStyle w:val="4"/>
        <w:bidi w:val="0"/>
        <w:rPr>
          <w:rFonts w:hint="eastAsia"/>
          <w:lang w:val="en-US" w:eastAsia="zh-CN"/>
        </w:rPr>
      </w:pPr>
      <w:r>
        <w:rPr>
          <w:rFonts w:hint="eastAsia"/>
          <w:lang w:val="en-US" w:eastAsia="zh-CN"/>
        </w:rPr>
        <w:t>0引言</w:t>
      </w:r>
    </w:p>
    <w:p w14:paraId="264766D6">
      <w:pPr>
        <w:pStyle w:val="4"/>
        <w:bidi w:val="0"/>
        <w:rPr>
          <w:rFonts w:hint="default"/>
          <w:lang w:val="en-US" w:eastAsia="zh-CN"/>
        </w:rPr>
      </w:pPr>
      <w:r>
        <w:rPr>
          <w:rFonts w:hint="eastAsia"/>
          <w:lang w:val="en-US" w:eastAsia="zh-CN"/>
        </w:rPr>
        <w:t>1基本数据</w:t>
      </w:r>
    </w:p>
    <w:p w14:paraId="5F27DCD0">
      <w:pPr>
        <w:pStyle w:val="4"/>
        <w:bidi w:val="0"/>
        <w:rPr>
          <w:rFonts w:hint="eastAsia"/>
          <w:lang w:val="en-US" w:eastAsia="zh-CN"/>
        </w:rPr>
      </w:pPr>
      <w:r>
        <w:rPr>
          <w:rFonts w:hint="eastAsia"/>
          <w:lang w:val="en-US" w:eastAsia="zh-CN"/>
        </w:rPr>
        <w:t>2主要原理</w:t>
      </w:r>
    </w:p>
    <w:p w14:paraId="0D2349C7">
      <w:pPr>
        <w:pStyle w:val="4"/>
        <w:bidi w:val="0"/>
        <w:rPr>
          <w:rFonts w:hint="eastAsia"/>
          <w:lang w:val="en-US" w:eastAsia="zh-CN"/>
        </w:rPr>
      </w:pPr>
      <w:r>
        <w:rPr>
          <w:rFonts w:hint="eastAsia"/>
          <w:lang w:val="en-US" w:eastAsia="zh-CN"/>
        </w:rPr>
        <w:t>3配置储能，优化模型运行结果</w:t>
      </w:r>
    </w:p>
    <w:p w14:paraId="7A85C6F9">
      <w:pPr>
        <w:pStyle w:val="4"/>
        <w:bidi w:val="0"/>
        <w:rPr>
          <w:rFonts w:hint="eastAsia"/>
          <w:lang w:val="en-US" w:eastAsia="zh-CN"/>
        </w:rPr>
      </w:pPr>
      <w:r>
        <w:rPr>
          <w:rFonts w:hint="eastAsia"/>
          <w:lang w:val="en-US" w:eastAsia="zh-CN"/>
        </w:rPr>
        <w:t>4结果</w:t>
      </w:r>
    </w:p>
    <w:p w14:paraId="09143AC5">
      <w:pPr>
        <w:pStyle w:val="4"/>
        <w:bidi w:val="0"/>
        <w:rPr>
          <w:rFonts w:hint="default"/>
          <w:lang w:val="en-US" w:eastAsia="zh-CN"/>
        </w:rPr>
      </w:pPr>
      <w:r>
        <w:rPr>
          <w:rFonts w:hint="eastAsia"/>
          <w:lang w:val="en-US" w:eastAsia="zh-CN"/>
        </w:rPr>
        <w:t>5结论</w:t>
      </w:r>
    </w:p>
    <w:p w14:paraId="36FBAE88">
      <w:pPr>
        <w:ind w:firstLine="210" w:firstLineChars="100"/>
        <w:rPr>
          <w:rFonts w:hint="default"/>
          <w:lang w:val="en-US" w:eastAsia="zh-CN"/>
        </w:rPr>
      </w:pPr>
    </w:p>
    <w:p w14:paraId="438FB46E">
      <w:pPr>
        <w:pStyle w:val="11"/>
        <w:keepNext w:val="0"/>
        <w:keepLines w:val="0"/>
        <w:widowControl/>
        <w:suppressLineNumbers w:val="0"/>
        <w:rPr>
          <w:rFonts w:hint="eastAsia"/>
          <w:lang w:val="en-US" w:eastAsia="zh-CN"/>
        </w:rPr>
      </w:pPr>
      <w:r>
        <w:rPr>
          <w:rFonts w:hint="eastAsia"/>
          <w:lang w:val="en-US" w:eastAsia="zh-CN"/>
        </w:rPr>
        <w:t xml:space="preserve">   </w:t>
      </w:r>
      <w:r>
        <w:rPr>
          <w:rStyle w:val="21"/>
          <w:rFonts w:hint="eastAsia"/>
          <w:lang w:val="en-US" w:eastAsia="zh-CN"/>
        </w:rPr>
        <w:t>0引言</w:t>
      </w:r>
      <w:r>
        <w:rPr>
          <w:rFonts w:hint="eastAsia"/>
          <w:lang w:val="en-US" w:eastAsia="zh-CN"/>
        </w:rPr>
        <w:t>：</w:t>
      </w:r>
      <w:r>
        <w:t>在双碳目标背景下，越来越多的工业园区开始建设本地微电网：园区内配置光伏、风电等分布式电源，并与主电网相连，二者联合为园区负荷供电。为提高可再生能源电量的消纳占比，园区通常配置较高比例的风光装机容量；但风光出力受气象条件制约，具有明显的波动性与间歇性，与负荷曲线在时序上并不匹配，例如光伏出力集中于午间，而园区负荷高峰常出现在傍晚。由于富余电量不允许向主电网出售，无法就地消纳的风光电量只能舍弃，称为弃风弃光。</w:t>
      </w:r>
      <w:r>
        <w:rPr>
          <w:rFonts w:hint="eastAsia"/>
          <w:lang w:val="en-US" w:eastAsia="zh-CN"/>
        </w:rPr>
        <w:t>因此，在此基础上本篇提出问题：</w:t>
      </w:r>
    </w:p>
    <w:p w14:paraId="510936C7">
      <w:pPr>
        <w:pStyle w:val="11"/>
        <w:keepNext w:val="0"/>
        <w:keepLines w:val="0"/>
        <w:widowControl/>
        <w:numPr>
          <w:ilvl w:val="0"/>
          <w:numId w:val="1"/>
        </w:numPr>
        <w:suppressLineNumbers w:val="0"/>
        <w:rPr>
          <w:rStyle w:val="15"/>
          <w:rFonts w:hint="eastAsia"/>
          <w:lang w:val="en-US" w:eastAsia="zh-CN"/>
        </w:rPr>
      </w:pPr>
      <w:r>
        <w:rPr>
          <w:rStyle w:val="15"/>
          <w:rFonts w:hint="eastAsia"/>
          <w:lang w:val="en-US" w:eastAsia="zh-CN"/>
        </w:rPr>
        <w:t>即在配置50kW/100kWh的储能系统是否能降低园区微电网的购电量和平均供电成本？</w:t>
      </w:r>
    </w:p>
    <w:p w14:paraId="685518BD">
      <w:pPr>
        <w:pStyle w:val="11"/>
        <w:keepNext w:val="0"/>
        <w:keepLines w:val="0"/>
        <w:widowControl/>
        <w:numPr>
          <w:ilvl w:val="0"/>
          <w:numId w:val="0"/>
        </w:numPr>
        <w:suppressLineNumbers w:val="0"/>
        <w:ind w:right="0" w:rightChars="0"/>
        <w:rPr>
          <w:rStyle w:val="15"/>
          <w:rFonts w:hint="eastAsia"/>
          <w:lang w:val="en-US" w:eastAsia="zh-CN"/>
        </w:rPr>
      </w:pPr>
      <w:r>
        <w:rPr>
          <w:rStyle w:val="15"/>
          <w:rFonts w:hint="eastAsia"/>
          <w:lang w:val="en-US" w:eastAsia="zh-CN"/>
        </w:rPr>
        <w:t>2.A，B，C三个园区的改善程度差异如何？</w:t>
      </w:r>
    </w:p>
    <w:p w14:paraId="4AB30A28">
      <w:pPr>
        <w:pStyle w:val="11"/>
        <w:keepNext w:val="0"/>
        <w:keepLines w:val="0"/>
        <w:widowControl/>
        <w:numPr>
          <w:ilvl w:val="0"/>
          <w:numId w:val="0"/>
        </w:numPr>
        <w:suppressLineNumbers w:val="0"/>
        <w:ind w:right="0" w:rightChars="0"/>
        <w:rPr>
          <w:rStyle w:val="15"/>
          <w:rFonts w:hint="default"/>
          <w:lang w:val="en-US" w:eastAsia="zh-CN"/>
        </w:rPr>
      </w:pPr>
    </w:p>
    <w:p w14:paraId="44BB527F">
      <w:pPr>
        <w:pStyle w:val="11"/>
        <w:keepNext w:val="0"/>
        <w:keepLines w:val="0"/>
        <w:widowControl/>
        <w:numPr>
          <w:ilvl w:val="0"/>
          <w:numId w:val="0"/>
        </w:numPr>
        <w:suppressLineNumbers w:val="0"/>
        <w:ind w:right="0" w:rightChars="0"/>
        <w:rPr>
          <w:rStyle w:val="15"/>
          <w:rFonts w:hint="default"/>
          <w:lang w:val="en-US" w:eastAsia="zh-CN"/>
        </w:rPr>
      </w:pPr>
      <w:r>
        <w:rPr>
          <w:rStyle w:val="15"/>
          <w:rFonts w:hint="eastAsia"/>
          <w:lang w:val="en-US" w:eastAsia="zh-CN"/>
        </w:rPr>
        <w:t>3.各园区最优储能配置与运行策略是什么？</w:t>
      </w:r>
    </w:p>
    <w:p w14:paraId="05FCB9D4">
      <w:pPr>
        <w:pStyle w:val="5"/>
        <w:bidi w:val="0"/>
        <w:ind w:firstLine="281" w:firstLineChars="100"/>
        <w:rPr>
          <w:rFonts w:hint="eastAsia"/>
          <w:lang w:val="en-US" w:eastAsia="zh-CN"/>
        </w:rPr>
      </w:pPr>
      <w:r>
        <w:rPr>
          <w:rFonts w:hint="eastAsia"/>
          <w:lang w:val="en-US" w:eastAsia="zh-CN"/>
        </w:rPr>
        <w:t>1基本数据</w:t>
      </w:r>
    </w:p>
    <w:p w14:paraId="3B9EF434">
      <w:pPr>
        <w:rPr>
          <w:rFonts w:hint="default"/>
          <w:lang w:val="en-US" w:eastAsia="zh-CN"/>
        </w:rPr>
      </w:pPr>
      <w:r>
        <w:rPr>
          <w:rFonts w:hint="default"/>
          <w:lang w:val="en-US" w:eastAsia="zh-CN"/>
        </w:rPr>
        <w:t>关于微电网储能配置的基本理论与方法，已有大量学者进行了研究 [1-2]。</w:t>
      </w:r>
    </w:p>
    <w:p w14:paraId="030679FF">
      <w:pPr>
        <w:pStyle w:val="11"/>
        <w:keepNext w:val="0"/>
        <w:keepLines w:val="0"/>
        <w:widowControl/>
        <w:suppressLineNumbers w:val="0"/>
        <w:spacing w:line="240" w:lineRule="auto"/>
        <w:jc w:val="left"/>
        <w:textAlignment w:val="center"/>
      </w:pPr>
      <w:r>
        <w:rPr>
          <w:rFonts w:hint="eastAsia" w:ascii="宋体" w:hAnsi="宋体" w:eastAsia="宋体" w:cs="宋体"/>
          <w:color w:val="000000"/>
          <w:spacing w:val="0"/>
          <w:position w:val="0"/>
          <w:sz w:val="24"/>
          <w:szCs w:val="24"/>
        </w:rPr>
        <w:t>本文</w:t>
      </w:r>
      <w:r>
        <w:rPr>
          <w:rFonts w:hint="eastAsia" w:ascii="宋体" w:hAnsi="宋体" w:eastAsia="宋体" w:cs="宋体"/>
          <w:color w:val="000000"/>
          <w:spacing w:val="0"/>
          <w:position w:val="0"/>
          <w:sz w:val="24"/>
          <w:szCs w:val="24"/>
          <w:lang w:val="en-US" w:eastAsia="zh-CN"/>
        </w:rPr>
        <w:t>使用了以下</w:t>
      </w:r>
      <w:r>
        <w:rPr>
          <w:rFonts w:hint="eastAsia" w:ascii="宋体" w:hAnsi="宋体" w:eastAsia="宋体" w:cs="宋体"/>
          <w:color w:val="000000"/>
          <w:spacing w:val="0"/>
          <w:position w:val="0"/>
          <w:sz w:val="24"/>
          <w:szCs w:val="24"/>
        </w:rPr>
        <w:t>三个文件</w:t>
      </w:r>
      <w:r>
        <w:rPr>
          <w:rFonts w:hint="eastAsia" w:ascii="宋体" w:hAnsi="宋体" w:eastAsia="宋体" w:cs="宋体"/>
          <w:color w:val="000000"/>
          <w:spacing w:val="0"/>
          <w:position w:val="0"/>
          <w:sz w:val="24"/>
          <w:szCs w:val="24"/>
          <w:lang w:val="en-US" w:eastAsia="zh-CN"/>
        </w:rPr>
        <w:t>数据</w:t>
      </w:r>
      <w:r>
        <w:rPr>
          <w:rFonts w:hint="eastAsia" w:ascii="宋体" w:hAnsi="宋体" w:eastAsia="宋体" w:cs="宋体"/>
          <w:color w:val="000000"/>
          <w:spacing w:val="0"/>
          <w:position w:val="0"/>
          <w:sz w:val="24"/>
          <w:szCs w:val="24"/>
        </w:rPr>
        <w:t>：</w:t>
      </w:r>
    </w:p>
    <w:p w14:paraId="5A36C5A3">
      <w:pPr>
        <w:keepNext w:val="0"/>
        <w:keepLines w:val="0"/>
        <w:widowControl/>
        <w:suppressLineNumbers w:val="0"/>
        <w:jc w:val="left"/>
        <w:rPr>
          <w:rFonts w:hint="eastAsia"/>
          <w:lang w:val="en-US" w:eastAsia="zh-CN"/>
        </w:rPr>
      </w:pPr>
      <w:r>
        <w:rPr>
          <w:rFonts w:hint="eastAsia" w:ascii="宋体" w:hAnsi="宋体" w:eastAsia="宋体" w:cs="宋体"/>
          <w:color w:val="000000"/>
          <w:spacing w:val="0"/>
          <w:kern w:val="0"/>
          <w:position w:val="0"/>
          <w:sz w:val="24"/>
          <w:szCs w:val="24"/>
          <w:lang w:val="en-US" w:eastAsia="zh-CN" w:bidi="ar"/>
        </w:rPr>
        <w:t>-</w:t>
      </w:r>
      <w:r>
        <w:rPr>
          <w:rFonts w:hint="eastAsia" w:ascii="宋体" w:hAnsi="宋体" w:eastAsia="宋体" w:cs="宋体"/>
          <w:b/>
          <w:bCs/>
          <w:color w:val="000000"/>
          <w:spacing w:val="0"/>
          <w:kern w:val="0"/>
          <w:position w:val="0"/>
          <w:sz w:val="24"/>
          <w:szCs w:val="24"/>
          <w:lang w:val="en-US" w:eastAsia="zh-CN" w:bidi="ar"/>
        </w:rPr>
        <w:t>附件1：各园区典型日负荷数据</w:t>
      </w:r>
      <w:r>
        <w:rPr>
          <w:rFonts w:hint="eastAsia" w:ascii="宋体" w:hAnsi="宋体" w:eastAsia="宋体" w:cs="宋体"/>
          <w:color w:val="000000"/>
          <w:spacing w:val="0"/>
          <w:kern w:val="0"/>
          <w:position w:val="0"/>
          <w:sz w:val="24"/>
          <w:szCs w:val="24"/>
          <w:lang w:val="en-US" w:eastAsia="zh-CN" w:bidi="ar"/>
        </w:rPr>
        <w:t>，含24 个逐时负荷点，单位kW； -</w:t>
      </w:r>
      <w:r>
        <w:rPr>
          <w:rFonts w:hint="eastAsia" w:ascii="宋体" w:hAnsi="宋体" w:eastAsia="宋体" w:cs="宋体"/>
          <w:b/>
          <w:bCs/>
          <w:color w:val="000000"/>
          <w:spacing w:val="0"/>
          <w:kern w:val="0"/>
          <w:position w:val="0"/>
          <w:sz w:val="24"/>
          <w:szCs w:val="24"/>
          <w:lang w:val="en-US" w:eastAsia="zh-CN" w:bidi="ar"/>
        </w:rPr>
        <w:t>附件2：各园区典型日风光发电数据</w:t>
      </w:r>
      <w:r>
        <w:rPr>
          <w:rFonts w:hint="eastAsia" w:ascii="宋体" w:hAnsi="宋体" w:eastAsia="宋体" w:cs="宋体"/>
          <w:color w:val="000000"/>
          <w:spacing w:val="0"/>
          <w:kern w:val="0"/>
          <w:position w:val="0"/>
          <w:sz w:val="24"/>
          <w:szCs w:val="24"/>
          <w:lang w:val="en-US" w:eastAsia="zh-CN" w:bidi="ar"/>
        </w:rPr>
        <w:t>，含24 个逐时出力点，为标幺值（以相应风/光额定装机容量为基准值）。</w:t>
      </w:r>
    </w:p>
    <w:p w14:paraId="4DFBBD51">
      <w:pPr>
        <w:pStyle w:val="6"/>
        <w:numPr>
          <w:ilvl w:val="1"/>
          <w:numId w:val="2"/>
        </w:numPr>
        <w:bidi w:val="0"/>
        <w:rPr>
          <w:rFonts w:hint="eastAsia"/>
          <w:lang w:val="en-US" w:eastAsia="zh-CN"/>
        </w:rPr>
      </w:pPr>
      <w:r>
        <w:rPr>
          <w:rFonts w:hint="eastAsia"/>
          <w:lang w:val="en-US" w:eastAsia="zh-CN"/>
        </w:rPr>
        <w:t>A园区典型日照负荷数据分析</w:t>
      </w:r>
    </w:p>
    <w:p w14:paraId="0348A571">
      <w:pPr>
        <w:bidi w:val="0"/>
        <w:rPr>
          <w:rFonts w:hint="eastAsia"/>
          <w:lang w:val="en-US" w:eastAsia="zh-CN"/>
        </w:rPr>
      </w:pPr>
      <w:r>
        <w:rPr>
          <w:rFonts w:hint="eastAsia"/>
          <w:lang w:val="en-US" w:eastAsia="zh-CN"/>
        </w:rPr>
        <w:drawing>
          <wp:inline distT="0" distB="0" distL="114300" distR="114300">
            <wp:extent cx="4222115" cy="2969895"/>
            <wp:effectExtent l="4445" t="4445" r="15240" b="10160"/>
            <wp:docPr id="6" name="图表 6"/>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14:paraId="43829852">
      <w:pPr>
        <w:bidi w:val="0"/>
        <w:ind w:firstLine="2700" w:firstLineChars="1500"/>
        <w:rPr>
          <w:rFonts w:hint="default"/>
          <w:sz w:val="18"/>
          <w:szCs w:val="18"/>
          <w:lang w:val="en-US" w:eastAsia="zh-CN"/>
        </w:rPr>
      </w:pPr>
      <w:r>
        <w:rPr>
          <w:rFonts w:hint="eastAsia"/>
          <w:sz w:val="18"/>
          <w:szCs w:val="18"/>
          <w:lang w:val="en-US" w:eastAsia="zh-CN"/>
        </w:rPr>
        <w:t>图1.1.1</w:t>
      </w:r>
    </w:p>
    <w:p w14:paraId="7822F011">
      <w:pPr>
        <w:bidi w:val="0"/>
        <w:rPr>
          <w:rFonts w:hint="eastAsia"/>
          <w:lang w:val="en-US" w:eastAsia="zh-CN"/>
        </w:rPr>
      </w:pPr>
      <w:r>
        <w:rPr>
          <w:rFonts w:hint="eastAsia"/>
          <w:lang w:val="en-US" w:eastAsia="zh-CN"/>
        </w:rPr>
        <w:drawing>
          <wp:inline distT="0" distB="0" distL="114300" distR="114300">
            <wp:extent cx="5256530" cy="2988310"/>
            <wp:effectExtent l="5080" t="4445" r="8890" b="17145"/>
            <wp:docPr id="7" name="图表 7" descr="7b0a202020202263686172745265734964223a20223230343736313638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77EDB1D7">
      <w:pPr>
        <w:bidi w:val="0"/>
        <w:rPr>
          <w:rFonts w:hint="default"/>
          <w:sz w:val="10"/>
          <w:szCs w:val="10"/>
          <w:lang w:val="en-US" w:eastAsia="zh-CN"/>
        </w:rPr>
      </w:pPr>
      <w:r>
        <w:rPr>
          <w:rFonts w:hint="eastAsia"/>
          <w:sz w:val="10"/>
          <w:szCs w:val="10"/>
          <w:lang w:val="en-US" w:eastAsia="zh-CN"/>
        </w:rPr>
        <w:t xml:space="preserve">                                                                              </w:t>
      </w:r>
      <w:r>
        <w:rPr>
          <w:rFonts w:hint="eastAsia"/>
          <w:sz w:val="18"/>
          <w:szCs w:val="18"/>
          <w:lang w:val="en-US" w:eastAsia="zh-CN"/>
        </w:rPr>
        <w:t xml:space="preserve"> 图1.1.2</w:t>
      </w:r>
    </w:p>
    <w:p w14:paraId="36D8252D">
      <w:pPr>
        <w:keepNext w:val="0"/>
        <w:keepLines w:val="0"/>
        <w:widowControl/>
        <w:suppressLineNumbers w:val="0"/>
        <w:jc w:val="left"/>
        <w:rPr>
          <w:rStyle w:val="19"/>
          <w:rFonts w:hint="eastAsia" w:ascii="宋体" w:hAnsi="宋体" w:eastAsia="宋体" w:cs="宋体"/>
        </w:rPr>
      </w:pPr>
      <w:r>
        <w:rPr>
          <w:rFonts w:hint="eastAsia"/>
          <w:lang w:val="en-US" w:eastAsia="zh-CN"/>
        </w:rPr>
        <w:t>数据解读：由本题可得，A园区光伏装机容量750kW，最大负荷447kW，通过图1.1.1和1.1.2分析可得，光伏</w:t>
      </w:r>
      <w:r>
        <w:rPr>
          <w:rStyle w:val="19"/>
          <w:rFonts w:hint="eastAsia" w:ascii="宋体" w:hAnsi="宋体" w:eastAsia="宋体" w:cs="宋体"/>
          <w:lang w:val="en-US" w:eastAsia="zh-CN"/>
        </w:rPr>
        <w:t xml:space="preserve">出力时段集中在时间段t =7–16，峰值641.6 kW（t =11），日发电量3 978.1 kWh，仅相当于其日电量的50.3%；夜间完全无出力。 </w:t>
      </w:r>
    </w:p>
    <w:p w14:paraId="754D9179">
      <w:pPr>
        <w:rPr>
          <w:rFonts w:hint="eastAsia"/>
          <w:lang w:val="en-US" w:eastAsia="zh-CN"/>
        </w:rPr>
      </w:pPr>
    </w:p>
    <w:p w14:paraId="6DA2F033">
      <w:pPr>
        <w:rPr>
          <w:rFonts w:hint="default"/>
          <w:lang w:val="en-US" w:eastAsia="zh-CN"/>
        </w:rPr>
      </w:pPr>
    </w:p>
    <w:p w14:paraId="6D7E77EE">
      <w:pPr>
        <w:rPr>
          <w:rFonts w:hint="default"/>
          <w:lang w:val="en-US" w:eastAsia="zh-CN"/>
        </w:rPr>
      </w:pPr>
    </w:p>
    <w:p w14:paraId="19B46F97">
      <w:pPr>
        <w:pStyle w:val="6"/>
        <w:bidi w:val="0"/>
        <w:rPr>
          <w:rFonts w:hint="eastAsia"/>
          <w:lang w:val="en-US" w:eastAsia="zh-CN"/>
        </w:rPr>
      </w:pPr>
    </w:p>
    <w:p w14:paraId="2763B57E">
      <w:pPr>
        <w:pStyle w:val="6"/>
        <w:bidi w:val="0"/>
        <w:rPr>
          <w:rFonts w:hint="default"/>
          <w:lang w:val="en-US" w:eastAsia="zh-CN"/>
        </w:rPr>
      </w:pPr>
      <w:r>
        <w:rPr>
          <w:rFonts w:hint="eastAsia"/>
          <w:lang w:val="en-US" w:eastAsia="zh-CN"/>
        </w:rPr>
        <w:t xml:space="preserve"> 1.2  B园区典型日照负荷数据分析</w:t>
      </w:r>
    </w:p>
    <w:p w14:paraId="2E8080E8">
      <w:pPr>
        <w:numPr>
          <w:ilvl w:val="0"/>
          <w:numId w:val="0"/>
        </w:numPr>
        <w:ind w:leftChars="0"/>
        <w:rPr>
          <w:rFonts w:hint="default"/>
          <w:lang w:val="en-US" w:eastAsia="zh-CN"/>
        </w:rPr>
      </w:pPr>
      <w:r>
        <w:rPr>
          <w:rFonts w:hint="default"/>
          <w:lang w:val="en-US" w:eastAsia="zh-CN"/>
        </w:rPr>
        <w:drawing>
          <wp:inline distT="0" distB="0" distL="114300" distR="114300">
            <wp:extent cx="5256530" cy="2988310"/>
            <wp:effectExtent l="5080" t="4445" r="8890" b="42545"/>
            <wp:docPr id="8" name="图表 8" descr="7b0a202020202263686172745265734964223a20223230343736313638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3E0E254E">
      <w:pPr>
        <w:bidi w:val="0"/>
        <w:ind w:firstLine="3780" w:firstLineChars="2100"/>
        <w:rPr>
          <w:rFonts w:hint="default"/>
          <w:sz w:val="10"/>
          <w:szCs w:val="10"/>
          <w:lang w:val="en-US" w:eastAsia="zh-CN"/>
        </w:rPr>
      </w:pPr>
      <w:r>
        <w:rPr>
          <w:rFonts w:hint="eastAsia"/>
          <w:sz w:val="18"/>
          <w:szCs w:val="18"/>
          <w:lang w:val="en-US" w:eastAsia="zh-CN"/>
        </w:rPr>
        <w:t>图1.2.1</w:t>
      </w:r>
    </w:p>
    <w:p w14:paraId="6E2CA722">
      <w:pPr>
        <w:numPr>
          <w:ilvl w:val="0"/>
          <w:numId w:val="0"/>
        </w:numPr>
        <w:ind w:leftChars="0"/>
        <w:rPr>
          <w:rFonts w:hint="default"/>
          <w:lang w:val="en-US" w:eastAsia="zh-CN"/>
        </w:rPr>
      </w:pPr>
    </w:p>
    <w:p w14:paraId="01DE3854">
      <w:pPr>
        <w:numPr>
          <w:ilvl w:val="0"/>
          <w:numId w:val="0"/>
        </w:numPr>
        <w:ind w:leftChars="0"/>
        <w:rPr>
          <w:rFonts w:hint="default"/>
          <w:lang w:val="en-US" w:eastAsia="zh-CN"/>
        </w:rPr>
      </w:pPr>
      <w:r>
        <w:rPr>
          <w:rFonts w:hint="default"/>
          <w:lang w:val="en-US" w:eastAsia="zh-CN"/>
        </w:rPr>
        <w:drawing>
          <wp:inline distT="0" distB="0" distL="114300" distR="114300">
            <wp:extent cx="5256530" cy="2988310"/>
            <wp:effectExtent l="5080" t="4445" r="8890" b="42545"/>
            <wp:docPr id="9" name="图表 9" descr="7b0a202020202263686172745265734964223a20223230343736313638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C6AEF79">
      <w:pPr>
        <w:numPr>
          <w:ilvl w:val="0"/>
          <w:numId w:val="0"/>
        </w:numPr>
        <w:ind w:leftChars="0" w:firstLine="3780" w:firstLineChars="1800"/>
        <w:rPr>
          <w:rFonts w:hint="default"/>
          <w:lang w:val="en-US" w:eastAsia="zh-CN"/>
        </w:rPr>
      </w:pPr>
      <w:r>
        <w:rPr>
          <w:rFonts w:hint="eastAsia"/>
          <w:lang w:val="en-US" w:eastAsia="zh-CN"/>
        </w:rPr>
        <w:t>图1.2.2</w:t>
      </w:r>
    </w:p>
    <w:p w14:paraId="529D8BFC">
      <w:pPr>
        <w:keepNext w:val="0"/>
        <w:keepLines w:val="0"/>
        <w:widowControl/>
        <w:suppressLineNumbers w:val="0"/>
        <w:jc w:val="left"/>
        <w:rPr>
          <w:sz w:val="21"/>
          <w:szCs w:val="21"/>
        </w:rPr>
      </w:pPr>
      <w:r>
        <w:rPr>
          <w:rFonts w:hint="eastAsia"/>
          <w:lang w:val="en-US" w:eastAsia="zh-CN"/>
        </w:rPr>
        <w:t>数据解读：由本题可得，B园区仅开设风力发电，风机装机容量为1000kw，B园区最大负荷为419kw，园区B的负荷率在三个园区中最高（76.7%），其负荷曲线最为平坦。</w:t>
      </w:r>
      <w:r>
        <w:rPr>
          <w:rFonts w:hint="eastAsia" w:ascii="宋体" w:hAnsi="宋体" w:eastAsia="宋体" w:cs="宋体"/>
          <w:color w:val="000000"/>
          <w:kern w:val="0"/>
          <w:sz w:val="21"/>
          <w:szCs w:val="21"/>
          <w:lang w:val="en-US" w:eastAsia="zh-CN" w:bidi="ar"/>
        </w:rPr>
        <w:t>园区B的风电出力表现出典型的间歇性：在t=1、t=4、t=5、t=18、t=19多次出现300–503kW的出力峰，又在t=7、t=10附近跌至47–52kW，</w:t>
      </w:r>
      <w:r>
        <w:rPr>
          <w:rFonts w:hint="eastAsia"/>
          <w:lang w:val="en-US" w:eastAsia="zh-CN"/>
        </w:rPr>
        <w:t>峰值出现在t=4:00时，为502.9kw，</w:t>
      </w:r>
      <w:r>
        <w:rPr>
          <w:rFonts w:hint="eastAsia" w:ascii="宋体" w:hAnsi="宋体" w:eastAsia="宋体" w:cs="宋体"/>
          <w:color w:val="000000"/>
          <w:kern w:val="0"/>
          <w:sz w:val="21"/>
          <w:szCs w:val="21"/>
          <w:lang w:val="en-US" w:eastAsia="zh-CN" w:bidi="ar"/>
        </w:rPr>
        <w:t>日发电量6175.2kWh，为其日电量80.1%。</w:t>
      </w:r>
    </w:p>
    <w:p w14:paraId="541049B0">
      <w:pPr>
        <w:numPr>
          <w:ilvl w:val="0"/>
          <w:numId w:val="0"/>
        </w:numPr>
        <w:ind w:leftChars="0"/>
        <w:rPr>
          <w:rFonts w:hint="default"/>
          <w:lang w:val="en-US" w:eastAsia="zh-CN"/>
        </w:rPr>
      </w:pPr>
    </w:p>
    <w:p w14:paraId="239E45C9">
      <w:pPr>
        <w:numPr>
          <w:ilvl w:val="0"/>
          <w:numId w:val="0"/>
        </w:numPr>
        <w:ind w:leftChars="0"/>
        <w:rPr>
          <w:rFonts w:hint="default"/>
          <w:lang w:val="en-US" w:eastAsia="zh-CN"/>
        </w:rPr>
      </w:pPr>
    </w:p>
    <w:p w14:paraId="0B6284DB">
      <w:pPr>
        <w:numPr>
          <w:ilvl w:val="0"/>
          <w:numId w:val="0"/>
        </w:numPr>
        <w:ind w:leftChars="0"/>
        <w:rPr>
          <w:rFonts w:hint="default"/>
          <w:lang w:val="en-US" w:eastAsia="zh-CN"/>
        </w:rPr>
      </w:pPr>
    </w:p>
    <w:p w14:paraId="41535D1C">
      <w:pPr>
        <w:numPr>
          <w:ilvl w:val="0"/>
          <w:numId w:val="0"/>
        </w:numPr>
        <w:ind w:leftChars="0"/>
        <w:rPr>
          <w:rFonts w:hint="default"/>
          <w:lang w:val="en-US" w:eastAsia="zh-CN"/>
        </w:rPr>
      </w:pPr>
    </w:p>
    <w:p w14:paraId="76FB3C2C">
      <w:pPr>
        <w:pStyle w:val="6"/>
        <w:numPr>
          <w:ilvl w:val="0"/>
          <w:numId w:val="0"/>
        </w:numPr>
        <w:bidi w:val="0"/>
        <w:ind w:leftChars="0"/>
        <w:rPr>
          <w:rFonts w:hint="default"/>
          <w:lang w:val="en-US" w:eastAsia="zh-CN"/>
        </w:rPr>
      </w:pPr>
      <w:r>
        <w:rPr>
          <w:rFonts w:hint="eastAsia"/>
          <w:lang w:val="en-US" w:eastAsia="zh-CN"/>
        </w:rPr>
        <w:t>1.3  C园区典型日照负荷</w:t>
      </w:r>
    </w:p>
    <w:p w14:paraId="6EEABA7F">
      <w:pPr>
        <w:numPr>
          <w:ilvl w:val="0"/>
          <w:numId w:val="0"/>
        </w:numPr>
        <w:ind w:leftChars="0"/>
        <w:rPr>
          <w:rFonts w:hint="default"/>
          <w:lang w:val="en-US" w:eastAsia="zh-CN"/>
        </w:rPr>
      </w:pPr>
      <w:r>
        <w:rPr>
          <w:rFonts w:hint="default"/>
          <w:lang w:val="en-US" w:eastAsia="zh-CN"/>
        </w:rPr>
        <w:drawing>
          <wp:inline distT="0" distB="0" distL="114300" distR="114300">
            <wp:extent cx="4773930" cy="2822575"/>
            <wp:effectExtent l="4445" t="4445" r="9525" b="43180"/>
            <wp:docPr id="10" name="图表 10" descr="7b0a202020202263686172745265734964223a20223230343736313638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988EF45">
      <w:pPr>
        <w:numPr>
          <w:ilvl w:val="0"/>
          <w:numId w:val="0"/>
        </w:numPr>
        <w:ind w:leftChars="0" w:firstLine="3570" w:firstLineChars="1700"/>
        <w:rPr>
          <w:rFonts w:hint="default"/>
          <w:lang w:val="en-US" w:eastAsia="zh-CN"/>
        </w:rPr>
      </w:pPr>
      <w:r>
        <w:rPr>
          <w:rFonts w:hint="eastAsia"/>
          <w:lang w:val="en-US" w:eastAsia="zh-CN"/>
        </w:rPr>
        <w:t>图1.3.1</w:t>
      </w:r>
    </w:p>
    <w:p w14:paraId="6907EBEC">
      <w:pPr>
        <w:numPr>
          <w:ilvl w:val="0"/>
          <w:numId w:val="0"/>
        </w:numPr>
        <w:ind w:leftChars="0"/>
        <w:rPr>
          <w:rFonts w:hint="default"/>
          <w:lang w:val="en-US" w:eastAsia="zh-CN"/>
        </w:rPr>
      </w:pPr>
      <w:r>
        <w:rPr>
          <w:rFonts w:hint="default"/>
          <w:lang w:val="en-US" w:eastAsia="zh-CN"/>
        </w:rPr>
        <w:drawing>
          <wp:inline distT="0" distB="0" distL="114300" distR="114300">
            <wp:extent cx="5256530" cy="2988310"/>
            <wp:effectExtent l="5080" t="4445" r="8890" b="17145"/>
            <wp:docPr id="11" name="图表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DBB54B4">
      <w:pPr>
        <w:numPr>
          <w:ilvl w:val="0"/>
          <w:numId w:val="0"/>
        </w:numPr>
        <w:ind w:leftChars="0"/>
        <w:rPr>
          <w:rFonts w:hint="default"/>
          <w:lang w:val="en-US" w:eastAsia="zh-CN"/>
        </w:rPr>
      </w:pPr>
      <w:r>
        <w:rPr>
          <w:rFonts w:hint="eastAsia"/>
          <w:lang w:val="en-US" w:eastAsia="zh-CN"/>
        </w:rPr>
        <w:t xml:space="preserve">                                  图1.3.2</w:t>
      </w:r>
    </w:p>
    <w:p w14:paraId="41FB86C5">
      <w:pPr>
        <w:numPr>
          <w:ilvl w:val="0"/>
          <w:numId w:val="0"/>
        </w:numPr>
        <w:ind w:leftChars="0"/>
        <w:rPr>
          <w:rFonts w:hint="default"/>
          <w:lang w:val="en-US" w:eastAsia="zh-CN"/>
        </w:rPr>
      </w:pPr>
      <w:r>
        <w:rPr>
          <w:rFonts w:hint="eastAsia"/>
          <w:lang w:val="en-US" w:eastAsia="zh-CN"/>
        </w:rPr>
        <w:t xml:space="preserve"> </w:t>
      </w:r>
    </w:p>
    <w:p w14:paraId="5391CC9D">
      <w:pPr>
        <w:keepNext w:val="0"/>
        <w:keepLines w:val="0"/>
        <w:widowControl/>
        <w:suppressLineNumbers w:val="0"/>
        <w:jc w:val="left"/>
        <w:rPr>
          <w:sz w:val="21"/>
          <w:szCs w:val="21"/>
        </w:rPr>
      </w:pPr>
      <w:r>
        <w:rPr>
          <w:rFonts w:hint="eastAsia"/>
          <w:lang w:val="en-US" w:eastAsia="zh-CN"/>
        </w:rPr>
        <w:t>数据解读：由题可得，C园区同时配备光伏发电和风力发电，风电装机容量为500kw，光伏装机容量为600kw，C园区最大负荷为506kw，园区C 的负荷率最低（64 .0%），峰谷差最大，</w:t>
      </w:r>
      <w:r>
        <w:rPr>
          <w:rFonts w:hint="eastAsia" w:ascii="宋体" w:hAnsi="宋体" w:eastAsia="宋体" w:cs="宋体"/>
          <w:color w:val="000000"/>
          <w:kern w:val="0"/>
          <w:sz w:val="21"/>
          <w:szCs w:val="21"/>
          <w:lang w:val="en-US" w:eastAsia="zh-CN" w:bidi="ar"/>
        </w:rPr>
        <w:t>园区C的风电出力在清晨与夜间多次起伏，光伏出力集中于午间，日发电量合计6204.6kWh。</w:t>
      </w:r>
    </w:p>
    <w:p w14:paraId="0B096903">
      <w:pPr>
        <w:pStyle w:val="10"/>
        <w:bidi w:val="0"/>
        <w:rPr>
          <w:lang w:val="en-US" w:eastAsia="zh-CN"/>
        </w:rPr>
      </w:pPr>
    </w:p>
    <w:p w14:paraId="19B36C8B">
      <w:pPr>
        <w:pStyle w:val="6"/>
        <w:numPr>
          <w:ilvl w:val="0"/>
          <w:numId w:val="0"/>
        </w:numPr>
        <w:bidi w:val="0"/>
        <w:ind w:leftChars="0"/>
        <w:rPr>
          <w:rFonts w:hint="eastAsia"/>
          <w:lang w:val="en-US" w:eastAsia="zh-CN"/>
        </w:rPr>
      </w:pPr>
      <w:r>
        <w:rPr>
          <w:rFonts w:hint="eastAsia"/>
          <w:lang w:val="en-US" w:eastAsia="zh-CN"/>
        </w:rPr>
        <w:t>1.4  A，B，C园区数据对比</w:t>
      </w:r>
    </w:p>
    <w:p w14:paraId="27DC10C5">
      <w:pPr>
        <w:numPr>
          <w:ilvl w:val="0"/>
          <w:numId w:val="0"/>
        </w:numPr>
        <w:ind w:leftChars="0"/>
      </w:pPr>
      <w:r>
        <w:drawing>
          <wp:inline distT="0" distB="0" distL="114300" distR="114300">
            <wp:extent cx="4800600" cy="3195320"/>
            <wp:effectExtent l="0" t="0" r="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4800600" cy="3195320"/>
                    </a:xfrm>
                    <a:prstGeom prst="rect">
                      <a:avLst/>
                    </a:prstGeom>
                    <a:noFill/>
                    <a:ln>
                      <a:noFill/>
                    </a:ln>
                  </pic:spPr>
                </pic:pic>
              </a:graphicData>
            </a:graphic>
          </wp:inline>
        </w:drawing>
      </w:r>
    </w:p>
    <w:p w14:paraId="2FB6D0CF">
      <w:pPr>
        <w:numPr>
          <w:ilvl w:val="0"/>
          <w:numId w:val="0"/>
        </w:numPr>
        <w:ind w:leftChars="0"/>
        <w:rPr>
          <w:rFonts w:hint="default" w:eastAsiaTheme="minorEastAsia"/>
          <w:lang w:val="en-US" w:eastAsia="zh-CN"/>
        </w:rPr>
      </w:pPr>
      <w:r>
        <w:rPr>
          <w:rFonts w:hint="eastAsia"/>
          <w:lang w:val="en-US" w:eastAsia="zh-CN"/>
        </w:rPr>
        <w:t xml:space="preserve">                                      图1.4.1</w:t>
      </w:r>
    </w:p>
    <w:p w14:paraId="0D911401">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color w:val="000000"/>
          <w:kern w:val="0"/>
          <w:sz w:val="24"/>
          <w:szCs w:val="24"/>
          <w:lang w:val="en-US" w:eastAsia="zh-CN" w:bidi="ar"/>
        </w:rPr>
        <w:t>三个园区"发电—用电"的时序错位十分明显：三个园区的负荷水平大体相当（日电量7710–7901kWh），园区A的光伏高峰（午间）与其负荷平台（午后）部分重叠但幅值超出，</w:t>
      </w:r>
      <w:r>
        <w:rPr>
          <w:rFonts w:hint="eastAsia" w:ascii="宋体" w:hAnsi="宋体" w:eastAsia="宋体" w:cs="宋体"/>
          <w:color w:val="000000"/>
          <w:spacing w:val="0"/>
          <w:kern w:val="0"/>
          <w:position w:val="0"/>
          <w:sz w:val="24"/>
          <w:szCs w:val="24"/>
          <w:lang w:val="en-US" w:eastAsia="zh-CN" w:bidi="ar"/>
        </w:rPr>
        <w:t>园区B 的风电高峰（清晨与傍晚）与其负荷高峰（午后）明显错开。</w:t>
      </w:r>
      <w:r>
        <w:rPr>
          <w:rFonts w:ascii="宋体" w:hAnsi="宋体" w:eastAsia="宋体" w:cs="宋体"/>
          <w:kern w:val="0"/>
          <w:sz w:val="24"/>
          <w:szCs w:val="24"/>
          <w:lang w:val="en-US" w:eastAsia="zh-CN" w:bidi="ar"/>
        </w:rPr>
        <w:t xml:space="preserve"> </w:t>
      </w:r>
    </w:p>
    <w:p w14:paraId="1F68FFDD">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下图（1.4.2）为绘制的</w:t>
      </w:r>
      <w:r>
        <w:rPr>
          <w:rFonts w:hint="eastAsia" w:ascii="宋体" w:hAnsi="宋体" w:eastAsia="宋体" w:cs="宋体"/>
          <w:color w:val="000000"/>
          <w:spacing w:val="0"/>
          <w:position w:val="0"/>
          <w:sz w:val="24"/>
          <w:szCs w:val="24"/>
        </w:rPr>
        <w:t>三园区典型日净负荷曲线（净负荷=负荷</w:t>
      </w:r>
      <w:r>
        <w:rPr>
          <w:rFonts w:ascii="Arial" w:hAnsi="Arial" w:cs="Arial"/>
          <w:color w:val="000000"/>
          <w:spacing w:val="0"/>
          <w:position w:val="0"/>
          <w:sz w:val="24"/>
          <w:szCs w:val="24"/>
        </w:rPr>
        <w:t xml:space="preserve">− </w:t>
      </w:r>
      <w:r>
        <w:rPr>
          <w:rFonts w:hint="eastAsia" w:ascii="宋体" w:hAnsi="宋体" w:eastAsia="宋体" w:cs="宋体"/>
          <w:color w:val="000000"/>
          <w:spacing w:val="0"/>
          <w:position w:val="0"/>
          <w:sz w:val="24"/>
          <w:szCs w:val="24"/>
        </w:rPr>
        <w:t>风光出力；正值表示需购</w:t>
      </w:r>
      <w:r>
        <w:rPr>
          <w:rFonts w:hint="eastAsia" w:ascii="宋体" w:hAnsi="宋体" w:eastAsia="宋体" w:cs="宋体"/>
          <w:color w:val="000000"/>
          <w:spacing w:val="0"/>
          <w:kern w:val="0"/>
          <w:position w:val="0"/>
          <w:sz w:val="24"/>
          <w:szCs w:val="24"/>
          <w:lang w:val="en-US" w:eastAsia="zh-CN" w:bidi="ar"/>
        </w:rPr>
        <w:t>电，负值表示弃电）</w:t>
      </w:r>
      <w:r>
        <w:rPr>
          <w:rFonts w:ascii="宋体" w:hAnsi="宋体" w:eastAsia="宋体" w:cs="宋体"/>
          <w:kern w:val="0"/>
          <w:sz w:val="24"/>
          <w:szCs w:val="24"/>
          <w:lang w:val="en-US" w:eastAsia="zh-CN" w:bidi="ar"/>
        </w:rPr>
        <w:t xml:space="preserve"> </w:t>
      </w:r>
    </w:p>
    <w:p w14:paraId="103922B1">
      <w:pPr>
        <w:keepNext w:val="0"/>
        <w:keepLines w:val="0"/>
        <w:widowControl/>
        <w:suppressLineNumbers w:val="0"/>
        <w:jc w:val="left"/>
      </w:pPr>
      <w:r>
        <w:drawing>
          <wp:inline distT="0" distB="0" distL="114300" distR="114300">
            <wp:extent cx="6186170" cy="2057400"/>
            <wp:effectExtent l="0" t="0" r="1143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6186170" cy="2057400"/>
                    </a:xfrm>
                    <a:prstGeom prst="rect">
                      <a:avLst/>
                    </a:prstGeom>
                    <a:noFill/>
                    <a:ln>
                      <a:noFill/>
                    </a:ln>
                  </pic:spPr>
                </pic:pic>
              </a:graphicData>
            </a:graphic>
          </wp:inline>
        </w:drawing>
      </w:r>
    </w:p>
    <w:p w14:paraId="16C05220">
      <w:pPr>
        <w:keepNext w:val="0"/>
        <w:keepLines w:val="0"/>
        <w:widowControl/>
        <w:suppressLineNumbers w:val="0"/>
        <w:jc w:val="left"/>
        <w:rPr>
          <w:rFonts w:hint="default" w:eastAsiaTheme="minorEastAsia"/>
          <w:lang w:val="en-US" w:eastAsia="zh-CN"/>
        </w:rPr>
      </w:pPr>
      <w:r>
        <w:rPr>
          <w:rFonts w:hint="eastAsia"/>
          <w:lang w:val="en-US" w:eastAsia="zh-CN"/>
        </w:rPr>
        <w:t xml:space="preserve">                                    图1.4.2</w:t>
      </w:r>
    </w:p>
    <w:p w14:paraId="76C8707E">
      <w:pPr>
        <w:keepNext w:val="0"/>
        <w:keepLines w:val="0"/>
        <w:widowControl/>
        <w:suppressLineNumbers w:val="0"/>
        <w:jc w:val="left"/>
        <w:rPr>
          <w:rFonts w:hint="default" w:ascii="宋体" w:hAnsi="宋体" w:eastAsia="宋体" w:cs="宋体"/>
          <w:kern w:val="0"/>
          <w:sz w:val="24"/>
          <w:szCs w:val="24"/>
          <w:lang w:val="en-US" w:eastAsia="zh-CN" w:bidi="ar"/>
        </w:rPr>
      </w:pPr>
    </w:p>
    <w:p w14:paraId="7DFB961A">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解读</w:t>
      </w:r>
      <w:r>
        <w:rPr>
          <w:rFonts w:hint="eastAsia" w:ascii="宋体" w:hAnsi="宋体" w:eastAsia="宋体" w:cs="宋体"/>
          <w:color w:val="000000"/>
          <w:kern w:val="0"/>
          <w:sz w:val="24"/>
          <w:szCs w:val="24"/>
          <w:lang w:val="en-US" w:eastAsia="zh-CN" w:bidi="ar"/>
        </w:rPr>
        <w:t>：三条曲线均频繁穿越零</w:t>
      </w:r>
    </w:p>
    <w:p w14:paraId="558E18D0">
      <w:pPr>
        <w:keepNext w:val="0"/>
        <w:keepLines w:val="0"/>
        <w:widowControl/>
        <w:suppressLineNumbers w:val="0"/>
        <w:jc w:val="left"/>
        <w:rPr>
          <w:rFonts w:hint="eastAsia" w:ascii="宋体" w:hAnsi="宋体" w:eastAsia="宋体" w:cs="宋体"/>
          <w:color w:val="000000"/>
          <w:spacing w:val="0"/>
          <w:position w:val="0"/>
          <w:sz w:val="24"/>
          <w:szCs w:val="24"/>
          <w:lang w:val="en-US" w:eastAsia="zh-CN"/>
        </w:rPr>
      </w:pPr>
      <w:r>
        <w:rPr>
          <w:rFonts w:hint="eastAsia" w:ascii="宋体" w:hAnsi="宋体" w:eastAsia="宋体" w:cs="宋体"/>
          <w:color w:val="000000"/>
          <w:kern w:val="0"/>
          <w:sz w:val="24"/>
          <w:szCs w:val="24"/>
          <w:lang w:val="en-US" w:eastAsia="zh-CN" w:bidi="ar"/>
        </w:rPr>
        <w:t>轴，说明三个园区在典型日内</w:t>
      </w:r>
      <w:r>
        <w:rPr>
          <w:rFonts w:hint="eastAsia" w:ascii="宋体" w:hAnsi="宋体" w:eastAsia="宋体" w:cs="宋体"/>
          <w:b/>
          <w:bCs/>
          <w:color w:val="000000"/>
          <w:kern w:val="0"/>
          <w:sz w:val="24"/>
          <w:szCs w:val="24"/>
          <w:lang w:val="en-US" w:eastAsia="zh-CN" w:bidi="ar"/>
        </w:rPr>
        <w:t>同时存在</w:t>
      </w:r>
      <w:r>
        <w:rPr>
          <w:rFonts w:hint="eastAsia" w:ascii="宋体" w:hAnsi="宋体" w:eastAsia="宋体" w:cs="宋体"/>
          <w:color w:val="000000"/>
          <w:kern w:val="0"/>
          <w:sz w:val="24"/>
          <w:szCs w:val="24"/>
          <w:lang w:val="en-US" w:eastAsia="zh-CN" w:bidi="ar"/>
        </w:rPr>
        <w:t>盈余时段与缺口时段。</w:t>
      </w:r>
      <w:r>
        <w:rPr>
          <w:rFonts w:hint="eastAsia" w:ascii="宋体" w:hAnsi="宋体" w:eastAsia="宋体" w:cs="宋体"/>
          <w:color w:val="000000"/>
          <w:spacing w:val="0"/>
          <w:position w:val="0"/>
          <w:sz w:val="24"/>
          <w:szCs w:val="24"/>
        </w:rPr>
        <w:t>具体而言，园区A 的净负荷在t =9–14 为负（最低</w:t>
      </w:r>
      <w:r>
        <w:rPr>
          <w:rFonts w:ascii="Arial" w:hAnsi="Arial" w:cs="Arial"/>
          <w:color w:val="000000"/>
          <w:spacing w:val="0"/>
          <w:position w:val="0"/>
          <w:sz w:val="24"/>
          <w:szCs w:val="24"/>
        </w:rPr>
        <w:t>−</w:t>
      </w:r>
      <w:r>
        <w:rPr>
          <w:rFonts w:hint="eastAsia" w:ascii="宋体" w:hAnsi="宋体" w:eastAsia="宋体" w:cs="宋体"/>
          <w:color w:val="000000"/>
          <w:spacing w:val="0"/>
          <w:position w:val="0"/>
          <w:sz w:val="24"/>
          <w:szCs w:val="24"/>
        </w:rPr>
        <w:t>195 .1 kW，t =11），其余</w:t>
      </w:r>
      <w:r>
        <w:rPr>
          <w:rFonts w:hint="eastAsia" w:ascii="宋体" w:hAnsi="宋体" w:eastAsia="宋体" w:cs="宋体"/>
          <w:color w:val="000000"/>
          <w:spacing w:val="0"/>
          <w:position w:val="0"/>
          <w:sz w:val="24"/>
          <w:szCs w:val="24"/>
          <w:lang w:val="en-US" w:eastAsia="zh-CN"/>
        </w:rPr>
        <w:t>时间</w:t>
      </w:r>
      <w:r>
        <w:rPr>
          <w:rFonts w:hint="eastAsia" w:ascii="宋体" w:hAnsi="宋体" w:eastAsia="宋体" w:cs="宋体"/>
          <w:color w:val="000000"/>
          <w:spacing w:val="0"/>
          <w:position w:val="0"/>
          <w:sz w:val="24"/>
          <w:szCs w:val="24"/>
        </w:rPr>
        <w:t>为正（最高376.0 kW，t =7），</w:t>
      </w:r>
      <w:r>
        <w:rPr>
          <w:rFonts w:hint="eastAsia" w:ascii="宋体" w:hAnsi="宋体" w:eastAsia="宋体" w:cs="宋体"/>
          <w:color w:val="000000"/>
          <w:spacing w:val="0"/>
          <w:position w:val="0"/>
          <w:sz w:val="24"/>
          <w:szCs w:val="24"/>
          <w:lang w:val="en-US" w:eastAsia="zh-CN"/>
        </w:rPr>
        <w:t>即得出集中时间盈余，其余时间短缺，</w:t>
      </w:r>
      <w:r>
        <w:rPr>
          <w:rFonts w:hint="eastAsia" w:ascii="宋体" w:hAnsi="宋体" w:eastAsia="宋体" w:cs="宋体"/>
          <w:color w:val="000000"/>
          <w:spacing w:val="0"/>
          <w:position w:val="0"/>
          <w:sz w:val="24"/>
          <w:szCs w:val="24"/>
        </w:rPr>
        <w:t>园区B 的净负荷在t =1、t =3–5、t =17–19 为负（最低</w:t>
      </w:r>
      <w:r>
        <w:rPr>
          <w:rFonts w:hint="default" w:ascii="Arial" w:hAnsi="Arial" w:cs="Arial"/>
          <w:color w:val="000000"/>
          <w:spacing w:val="0"/>
          <w:position w:val="0"/>
          <w:sz w:val="24"/>
          <w:szCs w:val="24"/>
        </w:rPr>
        <w:t>−</w:t>
      </w:r>
      <w:r>
        <w:rPr>
          <w:rFonts w:hint="eastAsia" w:ascii="宋体" w:hAnsi="宋体" w:eastAsia="宋体" w:cs="宋体"/>
          <w:color w:val="000000"/>
          <w:spacing w:val="0"/>
          <w:position w:val="0"/>
          <w:sz w:val="24"/>
          <w:szCs w:val="24"/>
        </w:rPr>
        <w:t>213 .0 kW，t =4），正负交替频繁；园区C 的净负荷在t =5、t =9–14 为负（最低</w:t>
      </w:r>
      <w:r>
        <w:rPr>
          <w:rFonts w:hint="default" w:ascii="Arial" w:hAnsi="Arial" w:cs="Arial"/>
          <w:color w:val="000000"/>
          <w:spacing w:val="0"/>
          <w:position w:val="0"/>
          <w:sz w:val="24"/>
          <w:szCs w:val="24"/>
        </w:rPr>
        <w:t>−</w:t>
      </w:r>
      <w:r>
        <w:rPr>
          <w:rFonts w:hint="eastAsia" w:ascii="宋体" w:hAnsi="宋体" w:eastAsia="宋体" w:cs="宋体"/>
          <w:color w:val="000000"/>
          <w:spacing w:val="0"/>
          <w:position w:val="0"/>
          <w:sz w:val="24"/>
          <w:szCs w:val="24"/>
        </w:rPr>
        <w:t>261 .1 kW，t =12）。三者日内净负荷峰谷差分别达570 kW、537 kW 与539 kW</w:t>
      </w:r>
      <w:r>
        <w:rPr>
          <w:rFonts w:hint="eastAsia" w:ascii="宋体" w:hAnsi="宋体" w:eastAsia="宋体" w:cs="宋体"/>
          <w:color w:val="000000"/>
          <w:spacing w:val="0"/>
          <w:position w:val="0"/>
          <w:sz w:val="24"/>
          <w:szCs w:val="24"/>
          <w:lang w:eastAsia="zh-CN"/>
        </w:rPr>
        <w:t>，</w:t>
      </w:r>
      <w:r>
        <w:rPr>
          <w:rFonts w:hint="eastAsia" w:ascii="宋体" w:hAnsi="宋体" w:eastAsia="宋体" w:cs="宋体"/>
          <w:color w:val="000000"/>
          <w:spacing w:val="0"/>
          <w:position w:val="0"/>
          <w:sz w:val="24"/>
          <w:szCs w:val="24"/>
          <w:lang w:val="en-US" w:eastAsia="zh-CN"/>
        </w:rPr>
        <w:t>数值差别不大，但时间段分布不同。</w:t>
      </w:r>
    </w:p>
    <w:p w14:paraId="69BC21CD">
      <w:pPr>
        <w:keepNext w:val="0"/>
        <w:keepLines w:val="0"/>
        <w:widowControl/>
        <w:suppressLineNumbers w:val="0"/>
        <w:jc w:val="left"/>
      </w:pPr>
      <w:r>
        <w:drawing>
          <wp:inline distT="0" distB="0" distL="114300" distR="114300">
            <wp:extent cx="5269865" cy="1598930"/>
            <wp:effectExtent l="0" t="0" r="635" b="127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2"/>
                    <a:stretch>
                      <a:fillRect/>
                    </a:stretch>
                  </pic:blipFill>
                  <pic:spPr>
                    <a:xfrm>
                      <a:off x="0" y="0"/>
                      <a:ext cx="5269865" cy="1598930"/>
                    </a:xfrm>
                    <a:prstGeom prst="rect">
                      <a:avLst/>
                    </a:prstGeom>
                    <a:noFill/>
                    <a:ln>
                      <a:noFill/>
                    </a:ln>
                  </pic:spPr>
                </pic:pic>
              </a:graphicData>
            </a:graphic>
          </wp:inline>
        </w:drawing>
      </w:r>
    </w:p>
    <w:p w14:paraId="4E2D4155">
      <w:pPr>
        <w:keepNext w:val="0"/>
        <w:keepLines w:val="0"/>
        <w:widowControl/>
        <w:suppressLineNumbers w:val="0"/>
        <w:jc w:val="left"/>
        <w:rPr>
          <w:rFonts w:hint="default" w:eastAsiaTheme="minorEastAsia"/>
          <w:lang w:val="en-US" w:eastAsia="zh-CN"/>
        </w:rPr>
      </w:pPr>
      <w:r>
        <w:rPr>
          <w:rFonts w:hint="eastAsia"/>
          <w:lang w:val="en-US" w:eastAsia="zh-CN"/>
        </w:rPr>
        <w:t xml:space="preserve">                                图1.4.3</w:t>
      </w:r>
    </w:p>
    <w:p w14:paraId="228235B5">
      <w:pPr>
        <w:keepNext w:val="0"/>
        <w:keepLines w:val="0"/>
        <w:widowControl/>
        <w:suppressLineNumbers w:val="0"/>
        <w:ind w:firstLine="2730" w:firstLineChars="1300"/>
        <w:jc w:val="left"/>
        <w:rPr>
          <w:rFonts w:hint="eastAsia"/>
          <w:lang w:val="en-US" w:eastAsia="zh-CN"/>
        </w:rPr>
      </w:pPr>
      <w:r>
        <w:rPr>
          <w:rFonts w:hint="eastAsia"/>
          <w:lang w:val="en-US" w:eastAsia="zh-CN"/>
        </w:rPr>
        <w:t>上图（1.4.3）为无储能基准下的电量平衡</w:t>
      </w:r>
    </w:p>
    <w:p w14:paraId="51B2168F">
      <w:pPr>
        <w:keepNext w:val="0"/>
        <w:keepLines w:val="0"/>
        <w:widowControl/>
        <w:suppressLineNumbers w:val="0"/>
        <w:jc w:val="left"/>
      </w:pPr>
      <w:r>
        <w:rPr>
          <w:rFonts w:hint="eastAsia" w:ascii="宋体" w:hAnsi="宋体" w:eastAsia="宋体" w:cs="宋体"/>
          <w:color w:val="000000"/>
          <w:spacing w:val="0"/>
          <w:kern w:val="0"/>
          <w:position w:val="0"/>
          <w:sz w:val="24"/>
          <w:szCs w:val="24"/>
          <w:lang w:val="en-US" w:eastAsia="zh-CN" w:bidi="ar"/>
        </w:rPr>
        <w:t>将每个时间的电量去向拆分为"绿电自用"（绿色）、"电网购电"（红色）与"弃风弃光"（灰色，向下）三部分。可以清楚看到：弃电仅出现在风光出力超过负荷的少数时点，且园区A 的弃电集中连片地出现在t =9–14，园区B 的弃电则分散在清晨与傍晚的多个单独时间，园区C 介于两者之间。红色段则在各园区全天普遍存在，说明即便配置了风光，园区的供电主体仍是主电网。</w:t>
      </w:r>
      <w:r>
        <w:rPr>
          <w:rFonts w:ascii="宋体" w:hAnsi="宋体" w:eastAsia="宋体" w:cs="宋体"/>
          <w:kern w:val="0"/>
          <w:sz w:val="24"/>
          <w:szCs w:val="24"/>
          <w:lang w:val="en-US" w:eastAsia="zh-CN" w:bidi="ar"/>
        </w:rPr>
        <w:t xml:space="preserve"> </w:t>
      </w:r>
    </w:p>
    <w:p w14:paraId="3A0DE006">
      <w:pPr>
        <w:keepNext w:val="0"/>
        <w:keepLines w:val="0"/>
        <w:widowControl/>
        <w:suppressLineNumbers w:val="0"/>
        <w:jc w:val="left"/>
        <w:rPr>
          <w:rFonts w:hint="default"/>
          <w:lang w:val="en-US" w:eastAsia="zh-CN"/>
        </w:rPr>
      </w:pPr>
    </w:p>
    <w:p w14:paraId="5DE97B1B">
      <w:pPr>
        <w:keepNext w:val="0"/>
        <w:keepLines w:val="0"/>
        <w:widowControl/>
        <w:suppressLineNumbers w:val="0"/>
        <w:jc w:val="left"/>
      </w:pPr>
    </w:p>
    <w:p w14:paraId="58EA4E5F">
      <w:pPr>
        <w:keepNext w:val="0"/>
        <w:keepLines w:val="0"/>
        <w:widowControl/>
        <w:suppressLineNumbers w:val="0"/>
        <w:jc w:val="left"/>
        <w:rPr>
          <w:rFonts w:hint="default"/>
          <w:lang w:val="en-US"/>
        </w:rPr>
      </w:pPr>
    </w:p>
    <w:p w14:paraId="5B0C0443">
      <w:pPr>
        <w:keepNext w:val="0"/>
        <w:keepLines w:val="0"/>
        <w:widowControl/>
        <w:suppressLineNumbers w:val="0"/>
        <w:jc w:val="left"/>
      </w:pPr>
    </w:p>
    <w:p w14:paraId="0438B6CE">
      <w:pPr>
        <w:numPr>
          <w:ilvl w:val="0"/>
          <w:numId w:val="0"/>
        </w:numPr>
        <w:ind w:leftChars="0"/>
        <w:rPr>
          <w:rFonts w:hint="default"/>
          <w:lang w:val="en-US"/>
        </w:rPr>
      </w:pPr>
    </w:p>
    <w:p w14:paraId="399ADF63">
      <w:pPr>
        <w:pStyle w:val="10"/>
        <w:bidi w:val="0"/>
        <w:rPr>
          <w:rFonts w:hint="eastAsia"/>
          <w:lang w:val="en-US" w:eastAsia="zh-CN"/>
        </w:rPr>
      </w:pPr>
    </w:p>
    <w:p w14:paraId="10B522E4">
      <w:pPr>
        <w:pStyle w:val="11"/>
        <w:keepNext w:val="0"/>
        <w:keepLines w:val="0"/>
        <w:widowControl/>
        <w:numPr>
          <w:ilvl w:val="0"/>
          <w:numId w:val="0"/>
        </w:numPr>
        <w:suppressLineNumbers w:val="0"/>
        <w:ind w:left="960" w:leftChars="0" w:right="0" w:rightChars="0"/>
        <w:rPr>
          <w:rFonts w:hint="default"/>
          <w:vertAlign w:val="baseline"/>
          <w:lang w:val="en-US" w:eastAsia="zh-CN"/>
        </w:rPr>
      </w:pPr>
      <w:r>
        <w:rPr>
          <w:rFonts w:hint="eastAsia"/>
          <w:vertAlign w:val="baseline"/>
          <w:lang w:val="en-US" w:eastAsia="zh-CN"/>
        </w:rPr>
        <w:t>下表（</w:t>
      </w:r>
      <w:r>
        <w:rPr>
          <w:rFonts w:hint="eastAsia"/>
          <w:lang w:val="en-US" w:eastAsia="zh-CN"/>
        </w:rPr>
        <w:t>图1.4.4</w:t>
      </w:r>
      <w:r>
        <w:rPr>
          <w:rFonts w:hint="eastAsia"/>
          <w:vertAlign w:val="baseline"/>
          <w:lang w:val="en-US" w:eastAsia="zh-CN"/>
        </w:rPr>
        <w:t>）为三个园区一日内无储能基准情况baseline（弃风弃电不计入成本）</w:t>
      </w:r>
    </w:p>
    <w:tbl>
      <w:tblPr>
        <w:tblStyle w:val="13"/>
        <w:tblW w:w="91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24"/>
        <w:gridCol w:w="819"/>
        <w:gridCol w:w="1176"/>
        <w:gridCol w:w="831"/>
        <w:gridCol w:w="883"/>
        <w:gridCol w:w="873"/>
        <w:gridCol w:w="847"/>
        <w:gridCol w:w="847"/>
        <w:gridCol w:w="847"/>
        <w:gridCol w:w="724"/>
        <w:gridCol w:w="724"/>
      </w:tblGrid>
      <w:tr w14:paraId="3B5A6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4" w:hRule="atLeast"/>
        </w:trPr>
        <w:tc>
          <w:tcPr>
            <w:tcW w:w="624" w:type="dxa"/>
            <w:tcBorders>
              <w:top w:val="single" w:color="000000" w:sz="6" w:space="0"/>
              <w:left w:val="single" w:color="000000" w:sz="6" w:space="0"/>
              <w:bottom w:val="single" w:color="999999" w:sz="6" w:space="0"/>
              <w:right w:val="single" w:color="999999" w:sz="6" w:space="0"/>
            </w:tcBorders>
            <w:shd w:val="clear" w:color="auto" w:fill="FFFFFF"/>
          </w:tcPr>
          <w:p w14:paraId="025C04C9">
            <w:pPr>
              <w:pStyle w:val="11"/>
              <w:keepNext w:val="0"/>
              <w:keepLines w:val="0"/>
              <w:widowControl/>
              <w:suppressLineNumbers w:val="0"/>
              <w:rPr>
                <w:rFonts w:hint="default"/>
                <w:b/>
                <w:i w:val="0"/>
                <w:color w:val="000000"/>
                <w:vertAlign w:val="baseline"/>
                <w:lang w:val="en-US" w:eastAsia="zh-CN"/>
              </w:rPr>
            </w:pPr>
            <w:r>
              <w:rPr>
                <w:rFonts w:hint="eastAsia"/>
                <w:b/>
                <w:i w:val="0"/>
                <w:color w:val="000000"/>
                <w:vertAlign w:val="baseline"/>
                <w:lang w:val="en-US" w:eastAsia="zh-CN"/>
              </w:rPr>
              <w:t>园区</w:t>
            </w:r>
          </w:p>
        </w:tc>
        <w:tc>
          <w:tcPr>
            <w:tcW w:w="819" w:type="dxa"/>
            <w:tcBorders>
              <w:top w:val="single" w:color="000000" w:sz="6" w:space="0"/>
              <w:left w:val="single" w:color="999999" w:sz="6" w:space="0"/>
              <w:bottom w:val="single" w:color="999999" w:sz="6" w:space="0"/>
              <w:right w:val="single" w:color="999999" w:sz="6" w:space="0"/>
            </w:tcBorders>
            <w:shd w:val="clear" w:color="auto" w:fill="FFFFFF"/>
          </w:tcPr>
          <w:p w14:paraId="27B19116">
            <w:pPr>
              <w:pStyle w:val="11"/>
              <w:keepNext w:val="0"/>
              <w:keepLines w:val="0"/>
              <w:widowControl/>
              <w:suppressLineNumbers w:val="0"/>
              <w:rPr>
                <w:rFonts w:hint="default"/>
                <w:b/>
                <w:i w:val="0"/>
                <w:color w:val="000000"/>
                <w:vertAlign w:val="baseline"/>
                <w:lang w:val="en-US" w:eastAsia="zh-CN"/>
              </w:rPr>
            </w:pPr>
            <w:r>
              <w:rPr>
                <w:rFonts w:hint="eastAsia"/>
                <w:b/>
                <w:i w:val="0"/>
                <w:color w:val="000000"/>
                <w:vertAlign w:val="baseline"/>
                <w:lang w:val="en-US" w:eastAsia="zh-CN"/>
              </w:rPr>
              <w:t>总负荷电量（kW）</w:t>
            </w:r>
          </w:p>
        </w:tc>
        <w:tc>
          <w:tcPr>
            <w:tcW w:w="1176" w:type="dxa"/>
            <w:tcBorders>
              <w:top w:val="single" w:color="000000" w:sz="6" w:space="0"/>
              <w:left w:val="single" w:color="999999" w:sz="6" w:space="0"/>
              <w:bottom w:val="single" w:color="999999" w:sz="6" w:space="0"/>
              <w:right w:val="single" w:color="999999" w:sz="6" w:space="0"/>
            </w:tcBorders>
            <w:shd w:val="clear" w:color="auto" w:fill="FFFFFF"/>
          </w:tcPr>
          <w:p w14:paraId="709FA722">
            <w:pPr>
              <w:pStyle w:val="11"/>
              <w:keepNext w:val="0"/>
              <w:keepLines w:val="0"/>
              <w:widowControl/>
              <w:suppressLineNumbers w:val="0"/>
              <w:rPr>
                <w:rFonts w:hint="default"/>
                <w:b/>
                <w:i w:val="0"/>
                <w:color w:val="000000"/>
                <w:vertAlign w:val="baseline"/>
                <w:lang w:val="en-US" w:eastAsia="zh-CN"/>
              </w:rPr>
            </w:pPr>
            <w:r>
              <w:rPr>
                <w:rFonts w:hint="eastAsia"/>
                <w:b/>
                <w:i w:val="0"/>
                <w:color w:val="000000"/>
                <w:vertAlign w:val="baseline"/>
                <w:lang w:val="en-US" w:eastAsia="zh-CN"/>
              </w:rPr>
              <w:t>风光发电量</w:t>
            </w:r>
          </w:p>
        </w:tc>
        <w:tc>
          <w:tcPr>
            <w:tcW w:w="831" w:type="dxa"/>
            <w:tcBorders>
              <w:top w:val="single" w:color="000000" w:sz="6" w:space="0"/>
              <w:left w:val="single" w:color="999999" w:sz="6" w:space="0"/>
              <w:bottom w:val="single" w:color="999999" w:sz="6" w:space="0"/>
              <w:right w:val="single" w:color="999999" w:sz="6" w:space="0"/>
            </w:tcBorders>
            <w:shd w:val="clear" w:color="auto" w:fill="FFFFFF"/>
          </w:tcPr>
          <w:p w14:paraId="593B1FB6">
            <w:pPr>
              <w:pStyle w:val="11"/>
              <w:keepNext w:val="0"/>
              <w:keepLines w:val="0"/>
              <w:widowControl/>
              <w:suppressLineNumbers w:val="0"/>
              <w:rPr>
                <w:rFonts w:hint="default"/>
                <w:b/>
                <w:i w:val="0"/>
                <w:color w:val="000000"/>
                <w:vertAlign w:val="baseline"/>
                <w:lang w:val="en-US" w:eastAsia="zh-CN"/>
              </w:rPr>
            </w:pPr>
            <w:r>
              <w:rPr>
                <w:rFonts w:hint="eastAsia"/>
                <w:b/>
                <w:i w:val="0"/>
                <w:color w:val="000000"/>
                <w:vertAlign w:val="baseline"/>
                <w:lang w:val="en-US" w:eastAsia="zh-CN"/>
              </w:rPr>
              <w:t>风，光伏电用量</w:t>
            </w:r>
          </w:p>
        </w:tc>
        <w:tc>
          <w:tcPr>
            <w:tcW w:w="883" w:type="dxa"/>
            <w:tcBorders>
              <w:top w:val="single" w:color="000000" w:sz="6" w:space="0"/>
              <w:left w:val="single" w:color="999999" w:sz="6" w:space="0"/>
              <w:bottom w:val="single" w:color="999999" w:sz="6" w:space="0"/>
              <w:right w:val="single" w:color="000000" w:sz="6" w:space="0"/>
            </w:tcBorders>
            <w:shd w:val="clear" w:color="auto" w:fill="FFFFFF"/>
          </w:tcPr>
          <w:p w14:paraId="202618F4">
            <w:pPr>
              <w:pStyle w:val="11"/>
              <w:keepNext w:val="0"/>
              <w:keepLines w:val="0"/>
              <w:widowControl/>
              <w:suppressLineNumbers w:val="0"/>
              <w:rPr>
                <w:rFonts w:hint="default"/>
                <w:b/>
                <w:i w:val="0"/>
                <w:color w:val="000000"/>
                <w:vertAlign w:val="baseline"/>
                <w:lang w:val="en-US" w:eastAsia="zh-CN"/>
              </w:rPr>
            </w:pPr>
            <w:r>
              <w:rPr>
                <w:rFonts w:hint="eastAsia"/>
                <w:b/>
                <w:i w:val="0"/>
                <w:color w:val="000000"/>
                <w:vertAlign w:val="baseline"/>
                <w:lang w:val="en-US" w:eastAsia="zh-CN"/>
              </w:rPr>
              <w:t>电网购电量</w:t>
            </w:r>
          </w:p>
        </w:tc>
        <w:tc>
          <w:tcPr>
            <w:tcW w:w="873" w:type="dxa"/>
            <w:tcBorders>
              <w:top w:val="single" w:color="000000" w:sz="6" w:space="0"/>
              <w:left w:val="single" w:color="999999" w:sz="6" w:space="0"/>
              <w:bottom w:val="single" w:color="999999" w:sz="6" w:space="0"/>
              <w:right w:val="single" w:color="000000" w:sz="6" w:space="0"/>
            </w:tcBorders>
            <w:shd w:val="clear" w:color="auto" w:fill="FFFFFF"/>
          </w:tcPr>
          <w:p w14:paraId="64FC1438">
            <w:pPr>
              <w:pStyle w:val="11"/>
              <w:keepNext w:val="0"/>
              <w:keepLines w:val="0"/>
              <w:widowControl/>
              <w:suppressLineNumbers w:val="0"/>
              <w:rPr>
                <w:rFonts w:hint="default"/>
                <w:b/>
                <w:i w:val="0"/>
                <w:color w:val="000000"/>
                <w:vertAlign w:val="baseline"/>
                <w:lang w:val="en-US" w:eastAsia="zh-CN"/>
              </w:rPr>
            </w:pPr>
            <w:r>
              <w:rPr>
                <w:rFonts w:hint="eastAsia"/>
                <w:b/>
                <w:i w:val="0"/>
                <w:color w:val="000000"/>
                <w:vertAlign w:val="baseline"/>
                <w:lang w:val="en-US" w:eastAsia="zh-CN"/>
              </w:rPr>
              <w:t>弃电量</w:t>
            </w:r>
          </w:p>
        </w:tc>
        <w:tc>
          <w:tcPr>
            <w:tcW w:w="847" w:type="dxa"/>
            <w:tcBorders>
              <w:top w:val="single" w:color="000000" w:sz="6" w:space="0"/>
              <w:left w:val="single" w:color="999999" w:sz="6" w:space="0"/>
              <w:bottom w:val="single" w:color="999999" w:sz="6" w:space="0"/>
              <w:right w:val="single" w:color="000000" w:sz="6" w:space="0"/>
            </w:tcBorders>
            <w:shd w:val="clear" w:color="auto" w:fill="FFFFFF"/>
          </w:tcPr>
          <w:p w14:paraId="1C9AF075">
            <w:pPr>
              <w:pStyle w:val="11"/>
              <w:keepNext w:val="0"/>
              <w:keepLines w:val="0"/>
              <w:widowControl/>
              <w:suppressLineNumbers w:val="0"/>
              <w:rPr>
                <w:rFonts w:hint="default"/>
                <w:b/>
                <w:i w:val="0"/>
                <w:color w:val="000000"/>
                <w:vertAlign w:val="baseline"/>
                <w:lang w:val="en-US" w:eastAsia="zh-CN"/>
              </w:rPr>
            </w:pPr>
            <w:r>
              <w:rPr>
                <w:rFonts w:hint="eastAsia"/>
                <w:b/>
                <w:i w:val="0"/>
                <w:color w:val="000000"/>
                <w:vertAlign w:val="baseline"/>
                <w:lang w:val="en-US" w:eastAsia="zh-CN"/>
              </w:rPr>
              <w:t>绿电成本</w:t>
            </w:r>
          </w:p>
        </w:tc>
        <w:tc>
          <w:tcPr>
            <w:tcW w:w="847" w:type="dxa"/>
            <w:tcBorders>
              <w:top w:val="single" w:color="000000" w:sz="6" w:space="0"/>
              <w:left w:val="single" w:color="999999" w:sz="6" w:space="0"/>
              <w:bottom w:val="single" w:color="999999" w:sz="6" w:space="0"/>
              <w:right w:val="single" w:color="000000" w:sz="6" w:space="0"/>
            </w:tcBorders>
            <w:shd w:val="clear" w:color="auto" w:fill="FFFFFF"/>
          </w:tcPr>
          <w:p w14:paraId="143CAE73">
            <w:pPr>
              <w:pStyle w:val="11"/>
              <w:keepNext w:val="0"/>
              <w:keepLines w:val="0"/>
              <w:widowControl/>
              <w:suppressLineNumbers w:val="0"/>
              <w:rPr>
                <w:rFonts w:hint="default"/>
                <w:b/>
                <w:i w:val="0"/>
                <w:color w:val="000000"/>
                <w:vertAlign w:val="baseline"/>
                <w:lang w:val="en-US" w:eastAsia="zh-CN"/>
              </w:rPr>
            </w:pPr>
            <w:r>
              <w:rPr>
                <w:rFonts w:hint="eastAsia"/>
                <w:b/>
                <w:i w:val="0"/>
                <w:color w:val="000000"/>
                <w:vertAlign w:val="baseline"/>
                <w:lang w:val="en-US" w:eastAsia="zh-CN"/>
              </w:rPr>
              <w:t>购电成本</w:t>
            </w:r>
          </w:p>
        </w:tc>
        <w:tc>
          <w:tcPr>
            <w:tcW w:w="847" w:type="dxa"/>
            <w:tcBorders>
              <w:top w:val="single" w:color="000000" w:sz="6" w:space="0"/>
              <w:left w:val="single" w:color="999999" w:sz="6" w:space="0"/>
              <w:bottom w:val="single" w:color="999999" w:sz="6" w:space="0"/>
              <w:right w:val="single" w:color="000000" w:sz="6" w:space="0"/>
            </w:tcBorders>
            <w:shd w:val="clear" w:color="auto" w:fill="FFFFFF"/>
          </w:tcPr>
          <w:p w14:paraId="692E70A5">
            <w:pPr>
              <w:pStyle w:val="11"/>
              <w:keepNext w:val="0"/>
              <w:keepLines w:val="0"/>
              <w:widowControl/>
              <w:suppressLineNumbers w:val="0"/>
              <w:rPr>
                <w:rFonts w:hint="eastAsia"/>
                <w:b/>
                <w:i w:val="0"/>
                <w:color w:val="000000"/>
                <w:vertAlign w:val="baseline"/>
                <w:lang w:val="en-US" w:eastAsia="zh-CN"/>
              </w:rPr>
            </w:pPr>
            <w:r>
              <w:rPr>
                <w:rFonts w:hint="eastAsia"/>
                <w:b/>
                <w:i w:val="0"/>
                <w:color w:val="000000"/>
                <w:vertAlign w:val="baseline"/>
                <w:lang w:val="en-US" w:eastAsia="zh-CN"/>
              </w:rPr>
              <w:t>总成本</w:t>
            </w:r>
          </w:p>
        </w:tc>
        <w:tc>
          <w:tcPr>
            <w:tcW w:w="724" w:type="dxa"/>
            <w:tcBorders>
              <w:top w:val="single" w:color="000000" w:sz="6" w:space="0"/>
              <w:left w:val="single" w:color="999999" w:sz="6" w:space="0"/>
              <w:bottom w:val="single" w:color="999999" w:sz="6" w:space="0"/>
              <w:right w:val="single" w:color="000000" w:sz="6" w:space="0"/>
            </w:tcBorders>
            <w:shd w:val="clear" w:color="auto" w:fill="FFFFFF"/>
          </w:tcPr>
          <w:p w14:paraId="2BD15E44">
            <w:pPr>
              <w:pStyle w:val="11"/>
              <w:keepNext w:val="0"/>
              <w:keepLines w:val="0"/>
              <w:widowControl/>
              <w:suppressLineNumbers w:val="0"/>
              <w:rPr>
                <w:rFonts w:hint="eastAsia"/>
                <w:b/>
                <w:i w:val="0"/>
                <w:color w:val="000000"/>
                <w:vertAlign w:val="baseline"/>
                <w:lang w:val="en-US" w:eastAsia="zh-CN"/>
              </w:rPr>
            </w:pPr>
            <w:r>
              <w:rPr>
                <w:rFonts w:hint="eastAsia"/>
                <w:b/>
                <w:i w:val="0"/>
                <w:color w:val="000000"/>
                <w:vertAlign w:val="baseline"/>
                <w:lang w:val="en-US" w:eastAsia="zh-CN"/>
              </w:rPr>
              <w:t>平均供电成本</w:t>
            </w:r>
          </w:p>
        </w:tc>
        <w:tc>
          <w:tcPr>
            <w:tcW w:w="724" w:type="dxa"/>
            <w:tcBorders>
              <w:top w:val="single" w:color="000000" w:sz="6" w:space="0"/>
              <w:left w:val="single" w:color="999999" w:sz="6" w:space="0"/>
              <w:bottom w:val="single" w:color="999999" w:sz="6" w:space="0"/>
              <w:right w:val="single" w:color="000000" w:sz="6" w:space="0"/>
            </w:tcBorders>
            <w:shd w:val="clear" w:color="auto" w:fill="FFFFFF"/>
          </w:tcPr>
          <w:p w14:paraId="21D005C7">
            <w:pPr>
              <w:pStyle w:val="11"/>
              <w:keepNext w:val="0"/>
              <w:keepLines w:val="0"/>
              <w:widowControl/>
              <w:suppressLineNumbers w:val="0"/>
              <w:rPr>
                <w:rFonts w:hint="default"/>
                <w:b/>
                <w:i w:val="0"/>
                <w:color w:val="000000"/>
                <w:vertAlign w:val="baseline"/>
                <w:lang w:val="en-US" w:eastAsia="zh-CN"/>
              </w:rPr>
            </w:pPr>
            <w:r>
              <w:rPr>
                <w:rFonts w:hint="eastAsia"/>
                <w:b/>
                <w:i w:val="0"/>
                <w:color w:val="000000"/>
                <w:vertAlign w:val="baseline"/>
                <w:lang w:val="en-US" w:eastAsia="zh-CN"/>
              </w:rPr>
              <w:t>弃电率</w:t>
            </w:r>
          </w:p>
        </w:tc>
      </w:tr>
      <w:tr w14:paraId="7678F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5" w:hRule="atLeast"/>
        </w:trPr>
        <w:tc>
          <w:tcPr>
            <w:tcW w:w="624" w:type="dxa"/>
            <w:tcBorders>
              <w:top w:val="single" w:color="999999" w:sz="6" w:space="0"/>
              <w:left w:val="single" w:color="000000" w:sz="6" w:space="0"/>
              <w:bottom w:val="single" w:color="999999" w:sz="6" w:space="0"/>
              <w:right w:val="single" w:color="999999" w:sz="6" w:space="0"/>
            </w:tcBorders>
            <w:shd w:val="clear" w:color="auto" w:fill="FFFFFF"/>
          </w:tcPr>
          <w:p w14:paraId="172312AC">
            <w:pPr>
              <w:pStyle w:val="11"/>
              <w:keepNext w:val="0"/>
              <w:keepLines w:val="0"/>
              <w:widowControl/>
              <w:suppressLineNumbers w:val="0"/>
              <w:rPr>
                <w:rFonts w:hint="default"/>
                <w:b/>
                <w:i w:val="0"/>
                <w:color w:val="000000"/>
                <w:vertAlign w:val="baseline"/>
                <w:lang w:val="en-US" w:eastAsia="zh-CN"/>
              </w:rPr>
            </w:pPr>
            <w:r>
              <w:rPr>
                <w:rFonts w:hint="eastAsia"/>
                <w:b/>
                <w:i w:val="0"/>
                <w:color w:val="000000"/>
                <w:vertAlign w:val="baseline"/>
                <w:lang w:val="en-US" w:eastAsia="zh-CN"/>
              </w:rPr>
              <w:t>A</w:t>
            </w:r>
          </w:p>
        </w:tc>
        <w:tc>
          <w:tcPr>
            <w:tcW w:w="819" w:type="dxa"/>
            <w:tcBorders>
              <w:top w:val="single" w:color="999999" w:sz="6" w:space="0"/>
              <w:left w:val="single" w:color="999999" w:sz="6" w:space="0"/>
              <w:bottom w:val="single" w:color="999999" w:sz="6" w:space="0"/>
              <w:right w:val="single" w:color="999999" w:sz="6" w:space="0"/>
            </w:tcBorders>
            <w:shd w:val="clear" w:color="auto" w:fill="FFFFFF"/>
          </w:tcPr>
          <w:p w14:paraId="0E1E971D">
            <w:pPr>
              <w:pStyle w:val="11"/>
              <w:keepNext w:val="0"/>
              <w:keepLines w:val="0"/>
              <w:widowControl/>
              <w:suppressLineNumbers w:val="0"/>
              <w:rPr>
                <w:rFonts w:hint="default"/>
                <w:b w:val="0"/>
                <w:i w:val="0"/>
                <w:color w:val="000000"/>
                <w:vertAlign w:val="baseline"/>
                <w:lang w:val="en-US" w:eastAsia="zh-CN"/>
              </w:rPr>
            </w:pPr>
            <w:r>
              <w:rPr>
                <w:rFonts w:hint="eastAsia"/>
                <w:b w:val="0"/>
                <w:i w:val="0"/>
                <w:color w:val="000000"/>
                <w:vertAlign w:val="baseline"/>
                <w:lang w:val="en-US" w:eastAsia="zh-CN"/>
              </w:rPr>
              <w:t>7961</w:t>
            </w:r>
          </w:p>
        </w:tc>
        <w:tc>
          <w:tcPr>
            <w:tcW w:w="1176" w:type="dxa"/>
            <w:tcBorders>
              <w:top w:val="single" w:color="999999" w:sz="6" w:space="0"/>
              <w:left w:val="single" w:color="999999" w:sz="6" w:space="0"/>
              <w:bottom w:val="single" w:color="999999" w:sz="6" w:space="0"/>
              <w:right w:val="single" w:color="999999" w:sz="6" w:space="0"/>
            </w:tcBorders>
            <w:shd w:val="clear" w:color="auto" w:fill="FFFFFF"/>
          </w:tcPr>
          <w:p w14:paraId="56CC1DB4">
            <w:pPr>
              <w:pStyle w:val="11"/>
              <w:keepNext w:val="0"/>
              <w:keepLines w:val="0"/>
              <w:widowControl/>
              <w:suppressLineNumbers w:val="0"/>
              <w:rPr>
                <w:rFonts w:hint="default"/>
                <w:b w:val="0"/>
                <w:i w:val="0"/>
                <w:color w:val="000000"/>
                <w:vertAlign w:val="baseline"/>
                <w:lang w:val="en-US" w:eastAsia="zh-CN"/>
              </w:rPr>
            </w:pPr>
            <w:r>
              <w:rPr>
                <w:rFonts w:hint="eastAsia"/>
                <w:b w:val="0"/>
                <w:i w:val="0"/>
                <w:color w:val="000000"/>
                <w:vertAlign w:val="baseline"/>
                <w:lang w:val="en-US" w:eastAsia="zh-CN"/>
              </w:rPr>
              <w:t>3978.075（光伏）</w:t>
            </w:r>
          </w:p>
        </w:tc>
        <w:tc>
          <w:tcPr>
            <w:tcW w:w="831" w:type="dxa"/>
            <w:tcBorders>
              <w:top w:val="single" w:color="999999" w:sz="6" w:space="0"/>
              <w:left w:val="single" w:color="999999" w:sz="6" w:space="0"/>
              <w:bottom w:val="single" w:color="999999" w:sz="6" w:space="0"/>
              <w:right w:val="single" w:color="999999" w:sz="6" w:space="0"/>
            </w:tcBorders>
            <w:shd w:val="clear" w:color="auto" w:fill="FFFFFF"/>
          </w:tcPr>
          <w:p w14:paraId="76404F63">
            <w:pPr>
              <w:pStyle w:val="11"/>
              <w:keepNext w:val="0"/>
              <w:keepLines w:val="0"/>
              <w:widowControl/>
              <w:suppressLineNumbers w:val="0"/>
              <w:rPr>
                <w:rFonts w:hint="default"/>
                <w:b w:val="0"/>
                <w:i w:val="0"/>
                <w:color w:val="000000"/>
                <w:vertAlign w:val="baseline"/>
                <w:lang w:val="en-US" w:eastAsia="zh-CN"/>
              </w:rPr>
            </w:pPr>
            <w:r>
              <w:rPr>
                <w:rFonts w:hint="eastAsia"/>
                <w:b w:val="0"/>
                <w:i w:val="0"/>
                <w:color w:val="000000"/>
                <w:vertAlign w:val="baseline"/>
                <w:lang w:val="en-US" w:eastAsia="zh-CN"/>
              </w:rPr>
              <w:t>3026.88（光伏）</w:t>
            </w:r>
          </w:p>
        </w:tc>
        <w:tc>
          <w:tcPr>
            <w:tcW w:w="883" w:type="dxa"/>
            <w:tcBorders>
              <w:top w:val="single" w:color="999999" w:sz="6" w:space="0"/>
              <w:left w:val="single" w:color="999999" w:sz="6" w:space="0"/>
              <w:bottom w:val="single" w:color="999999" w:sz="6" w:space="0"/>
              <w:right w:val="single" w:color="000000" w:sz="6" w:space="0"/>
            </w:tcBorders>
            <w:shd w:val="clear" w:color="auto" w:fill="FFFFFF"/>
          </w:tcPr>
          <w:p w14:paraId="77C3AF66">
            <w:pPr>
              <w:pStyle w:val="11"/>
              <w:keepNext w:val="0"/>
              <w:keepLines w:val="0"/>
              <w:widowControl/>
              <w:suppressLineNumbers w:val="0"/>
              <w:rPr>
                <w:rFonts w:hint="default"/>
                <w:b w:val="0"/>
                <w:i w:val="0"/>
                <w:color w:val="000000"/>
                <w:vertAlign w:val="baseline"/>
                <w:lang w:val="en-US" w:eastAsia="zh-CN"/>
              </w:rPr>
            </w:pPr>
            <w:r>
              <w:rPr>
                <w:rFonts w:hint="eastAsia"/>
                <w:b w:val="0"/>
                <w:i w:val="0"/>
                <w:color w:val="000000"/>
                <w:vertAlign w:val="baseline"/>
                <w:lang w:val="en-US" w:eastAsia="zh-CN"/>
              </w:rPr>
              <w:t>4874.12</w:t>
            </w:r>
          </w:p>
        </w:tc>
        <w:tc>
          <w:tcPr>
            <w:tcW w:w="873" w:type="dxa"/>
            <w:tcBorders>
              <w:top w:val="single" w:color="999999" w:sz="6" w:space="0"/>
              <w:left w:val="single" w:color="999999" w:sz="6" w:space="0"/>
              <w:bottom w:val="single" w:color="999999" w:sz="6" w:space="0"/>
              <w:right w:val="single" w:color="000000" w:sz="6" w:space="0"/>
            </w:tcBorders>
            <w:shd w:val="clear" w:color="auto" w:fill="FFFFFF"/>
          </w:tcPr>
          <w:p w14:paraId="0711D27A">
            <w:pPr>
              <w:pStyle w:val="11"/>
              <w:keepNext w:val="0"/>
              <w:keepLines w:val="0"/>
              <w:widowControl/>
              <w:suppressLineNumbers w:val="0"/>
              <w:rPr>
                <w:rFonts w:hint="default"/>
                <w:lang w:val="en-US" w:eastAsia="zh-CN"/>
              </w:rPr>
            </w:pPr>
            <w:r>
              <w:rPr>
                <w:rFonts w:hint="eastAsia"/>
                <w:lang w:val="en-US" w:eastAsia="zh-CN"/>
              </w:rPr>
              <w:t>951.2</w:t>
            </w:r>
          </w:p>
        </w:tc>
        <w:tc>
          <w:tcPr>
            <w:tcW w:w="847" w:type="dxa"/>
            <w:tcBorders>
              <w:top w:val="single" w:color="999999" w:sz="6" w:space="0"/>
              <w:left w:val="single" w:color="999999" w:sz="6" w:space="0"/>
              <w:bottom w:val="single" w:color="999999" w:sz="6" w:space="0"/>
              <w:right w:val="single" w:color="000000" w:sz="6" w:space="0"/>
            </w:tcBorders>
            <w:shd w:val="clear" w:color="auto" w:fill="FFFFFF"/>
          </w:tcPr>
          <w:p w14:paraId="2E683A04">
            <w:pPr>
              <w:pStyle w:val="11"/>
              <w:keepNext w:val="0"/>
              <w:keepLines w:val="0"/>
              <w:widowControl/>
              <w:suppressLineNumbers w:val="0"/>
              <w:rPr>
                <w:rFonts w:hint="default"/>
                <w:b w:val="0"/>
                <w:i w:val="0"/>
                <w:color w:val="000000"/>
                <w:vertAlign w:val="baseline"/>
                <w:lang w:val="en-US" w:eastAsia="zh-CN"/>
              </w:rPr>
            </w:pPr>
            <w:r>
              <w:rPr>
                <w:rFonts w:hint="eastAsia"/>
                <w:b w:val="0"/>
                <w:i w:val="0"/>
                <w:color w:val="000000"/>
                <w:vertAlign w:val="baseline"/>
                <w:lang w:val="en-US" w:eastAsia="zh-CN"/>
              </w:rPr>
              <w:t>1210.75</w:t>
            </w:r>
          </w:p>
        </w:tc>
        <w:tc>
          <w:tcPr>
            <w:tcW w:w="847" w:type="dxa"/>
            <w:tcBorders>
              <w:top w:val="single" w:color="999999" w:sz="6" w:space="0"/>
              <w:left w:val="single" w:color="999999" w:sz="6" w:space="0"/>
              <w:bottom w:val="single" w:color="999999" w:sz="6" w:space="0"/>
              <w:right w:val="single" w:color="000000" w:sz="6" w:space="0"/>
            </w:tcBorders>
            <w:shd w:val="clear" w:color="auto" w:fill="FFFFFF"/>
          </w:tcPr>
          <w:p w14:paraId="3BAF54DF">
            <w:pPr>
              <w:pStyle w:val="11"/>
              <w:keepNext w:val="0"/>
              <w:keepLines w:val="0"/>
              <w:widowControl/>
              <w:suppressLineNumbers w:val="0"/>
              <w:rPr>
                <w:rFonts w:hint="default"/>
                <w:b w:val="0"/>
                <w:i w:val="0"/>
                <w:color w:val="000000"/>
                <w:vertAlign w:val="baseline"/>
                <w:lang w:val="en-US" w:eastAsia="zh-CN"/>
              </w:rPr>
            </w:pPr>
            <w:r>
              <w:rPr>
                <w:rFonts w:hint="eastAsia"/>
                <w:b w:val="0"/>
                <w:i w:val="0"/>
                <w:color w:val="000000"/>
                <w:vertAlign w:val="baseline"/>
                <w:lang w:val="en-US" w:eastAsia="zh-CN"/>
              </w:rPr>
              <w:t>4874.12</w:t>
            </w:r>
          </w:p>
        </w:tc>
        <w:tc>
          <w:tcPr>
            <w:tcW w:w="847" w:type="dxa"/>
            <w:tcBorders>
              <w:top w:val="single" w:color="999999" w:sz="6" w:space="0"/>
              <w:left w:val="single" w:color="999999" w:sz="6" w:space="0"/>
              <w:bottom w:val="single" w:color="999999" w:sz="6" w:space="0"/>
              <w:right w:val="single" w:color="000000" w:sz="6" w:space="0"/>
            </w:tcBorders>
            <w:shd w:val="clear" w:color="auto" w:fill="FFFFFF"/>
          </w:tcPr>
          <w:p w14:paraId="6DA01913">
            <w:pPr>
              <w:pStyle w:val="11"/>
              <w:keepNext w:val="0"/>
              <w:keepLines w:val="0"/>
              <w:widowControl/>
              <w:suppressLineNumbers w:val="0"/>
              <w:rPr>
                <w:rFonts w:hint="default"/>
                <w:b w:val="0"/>
                <w:i w:val="0"/>
                <w:color w:val="000000"/>
                <w:vertAlign w:val="baseline"/>
                <w:lang w:val="en-US" w:eastAsia="zh-CN"/>
              </w:rPr>
            </w:pPr>
            <w:r>
              <w:rPr>
                <w:rFonts w:hint="eastAsia"/>
                <w:b w:val="0"/>
                <w:i w:val="0"/>
                <w:color w:val="000000"/>
                <w:vertAlign w:val="baseline"/>
                <w:lang w:val="en-US" w:eastAsia="zh-CN"/>
              </w:rPr>
              <w:t>6084.88</w:t>
            </w:r>
          </w:p>
        </w:tc>
        <w:tc>
          <w:tcPr>
            <w:tcW w:w="724" w:type="dxa"/>
            <w:tcBorders>
              <w:top w:val="single" w:color="999999" w:sz="6" w:space="0"/>
              <w:left w:val="single" w:color="999999" w:sz="6" w:space="0"/>
              <w:bottom w:val="single" w:color="999999" w:sz="6" w:space="0"/>
              <w:right w:val="single" w:color="000000" w:sz="6" w:space="0"/>
            </w:tcBorders>
            <w:shd w:val="clear" w:color="auto" w:fill="FFFFFF"/>
          </w:tcPr>
          <w:p w14:paraId="7E8A2D9A">
            <w:pPr>
              <w:pStyle w:val="11"/>
              <w:keepNext w:val="0"/>
              <w:keepLines w:val="0"/>
              <w:widowControl/>
              <w:suppressLineNumbers w:val="0"/>
              <w:rPr>
                <w:rFonts w:hint="default"/>
                <w:b w:val="0"/>
                <w:i w:val="0"/>
                <w:color w:val="000000"/>
                <w:vertAlign w:val="baseline"/>
                <w:lang w:val="en-US" w:eastAsia="zh-CN"/>
              </w:rPr>
            </w:pPr>
            <w:r>
              <w:rPr>
                <w:rFonts w:hint="eastAsia"/>
                <w:b w:val="0"/>
                <w:i w:val="0"/>
                <w:color w:val="000000"/>
                <w:vertAlign w:val="baseline"/>
                <w:lang w:val="en-US" w:eastAsia="zh-CN"/>
              </w:rPr>
              <w:t>0.7701</w:t>
            </w:r>
          </w:p>
        </w:tc>
        <w:tc>
          <w:tcPr>
            <w:tcW w:w="724" w:type="dxa"/>
            <w:tcBorders>
              <w:top w:val="single" w:color="999999" w:sz="6" w:space="0"/>
              <w:left w:val="single" w:color="999999" w:sz="6" w:space="0"/>
              <w:bottom w:val="single" w:color="999999" w:sz="6" w:space="0"/>
              <w:right w:val="single" w:color="000000" w:sz="6" w:space="0"/>
            </w:tcBorders>
            <w:shd w:val="clear" w:color="auto" w:fill="FFFFFF"/>
          </w:tcPr>
          <w:p w14:paraId="77540E68">
            <w:pPr>
              <w:pStyle w:val="11"/>
              <w:keepNext w:val="0"/>
              <w:keepLines w:val="0"/>
              <w:widowControl/>
              <w:suppressLineNumbers w:val="0"/>
              <w:rPr>
                <w:rFonts w:hint="default"/>
                <w:b w:val="0"/>
                <w:i w:val="0"/>
                <w:color w:val="000000"/>
                <w:vertAlign w:val="baseline"/>
                <w:lang w:val="en-US" w:eastAsia="zh-CN"/>
              </w:rPr>
            </w:pPr>
            <w:r>
              <w:rPr>
                <w:rFonts w:hint="eastAsia"/>
                <w:b w:val="0"/>
                <w:i w:val="0"/>
                <w:color w:val="000000"/>
                <w:vertAlign w:val="baseline"/>
                <w:lang w:val="en-US" w:eastAsia="zh-CN"/>
              </w:rPr>
              <w:t>0.2391</w:t>
            </w:r>
          </w:p>
        </w:tc>
      </w:tr>
      <w:tr w14:paraId="359E7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5" w:hRule="atLeast"/>
        </w:trPr>
        <w:tc>
          <w:tcPr>
            <w:tcW w:w="624" w:type="dxa"/>
            <w:tcBorders>
              <w:top w:val="single" w:color="999999" w:sz="6" w:space="0"/>
              <w:left w:val="single" w:color="000000" w:sz="6" w:space="0"/>
              <w:bottom w:val="single" w:color="999999" w:sz="6" w:space="0"/>
              <w:right w:val="single" w:color="999999" w:sz="6" w:space="0"/>
            </w:tcBorders>
            <w:shd w:val="clear" w:color="auto" w:fill="FFFFFF"/>
          </w:tcPr>
          <w:p w14:paraId="3375312D">
            <w:pPr>
              <w:pStyle w:val="11"/>
              <w:keepNext w:val="0"/>
              <w:keepLines w:val="0"/>
              <w:widowControl/>
              <w:suppressLineNumbers w:val="0"/>
              <w:rPr>
                <w:rFonts w:hint="default"/>
                <w:b/>
                <w:i w:val="0"/>
                <w:color w:val="000000"/>
                <w:vertAlign w:val="baseline"/>
                <w:lang w:val="en-US" w:eastAsia="zh-CN"/>
              </w:rPr>
            </w:pPr>
            <w:r>
              <w:rPr>
                <w:rFonts w:hint="eastAsia"/>
                <w:b/>
                <w:i w:val="0"/>
                <w:color w:val="000000"/>
                <w:vertAlign w:val="baseline"/>
                <w:lang w:val="en-US" w:eastAsia="zh-CN"/>
              </w:rPr>
              <w:t>B</w:t>
            </w:r>
          </w:p>
        </w:tc>
        <w:tc>
          <w:tcPr>
            <w:tcW w:w="819" w:type="dxa"/>
            <w:tcBorders>
              <w:top w:val="single" w:color="999999" w:sz="6" w:space="0"/>
              <w:left w:val="single" w:color="999999" w:sz="6" w:space="0"/>
              <w:bottom w:val="single" w:color="999999" w:sz="6" w:space="0"/>
              <w:right w:val="single" w:color="999999" w:sz="6" w:space="0"/>
            </w:tcBorders>
            <w:shd w:val="clear" w:color="auto" w:fill="E6E6E6"/>
          </w:tcPr>
          <w:p w14:paraId="700EB6E2">
            <w:pPr>
              <w:pStyle w:val="11"/>
              <w:keepNext w:val="0"/>
              <w:keepLines w:val="0"/>
              <w:widowControl/>
              <w:suppressLineNumbers w:val="0"/>
              <w:rPr>
                <w:rFonts w:hint="default"/>
                <w:b w:val="0"/>
                <w:i w:val="0"/>
                <w:color w:val="000000"/>
                <w:vertAlign w:val="baseline"/>
                <w:lang w:val="en-US" w:eastAsia="zh-CN"/>
              </w:rPr>
            </w:pPr>
            <w:r>
              <w:rPr>
                <w:rFonts w:hint="eastAsia"/>
                <w:b w:val="0"/>
                <w:i w:val="0"/>
                <w:color w:val="000000"/>
                <w:vertAlign w:val="baseline"/>
                <w:lang w:val="en-US" w:eastAsia="zh-CN"/>
              </w:rPr>
              <w:t>7710</w:t>
            </w:r>
          </w:p>
        </w:tc>
        <w:tc>
          <w:tcPr>
            <w:tcW w:w="1176" w:type="dxa"/>
            <w:tcBorders>
              <w:top w:val="single" w:color="999999" w:sz="6" w:space="0"/>
              <w:left w:val="single" w:color="999999" w:sz="6" w:space="0"/>
              <w:bottom w:val="single" w:color="999999" w:sz="6" w:space="0"/>
              <w:right w:val="single" w:color="999999" w:sz="6" w:space="0"/>
            </w:tcBorders>
            <w:shd w:val="clear" w:color="auto" w:fill="E6E6E6"/>
          </w:tcPr>
          <w:p w14:paraId="38BE62C7">
            <w:pPr>
              <w:pStyle w:val="11"/>
              <w:keepNext w:val="0"/>
              <w:keepLines w:val="0"/>
              <w:widowControl/>
              <w:suppressLineNumbers w:val="0"/>
              <w:rPr>
                <w:rFonts w:hint="default"/>
                <w:b w:val="0"/>
                <w:i w:val="0"/>
                <w:color w:val="000000"/>
                <w:vertAlign w:val="baseline"/>
                <w:lang w:val="en-US" w:eastAsia="zh-CN"/>
              </w:rPr>
            </w:pPr>
            <w:r>
              <w:rPr>
                <w:rFonts w:hint="eastAsia"/>
                <w:b w:val="0"/>
                <w:i w:val="0"/>
                <w:color w:val="000000"/>
                <w:vertAlign w:val="baseline"/>
                <w:lang w:val="en-US" w:eastAsia="zh-CN"/>
              </w:rPr>
              <w:t>6175.2（风力）</w:t>
            </w:r>
          </w:p>
        </w:tc>
        <w:tc>
          <w:tcPr>
            <w:tcW w:w="831" w:type="dxa"/>
            <w:tcBorders>
              <w:top w:val="single" w:color="999999" w:sz="6" w:space="0"/>
              <w:left w:val="single" w:color="999999" w:sz="6" w:space="0"/>
              <w:bottom w:val="single" w:color="999999" w:sz="6" w:space="0"/>
              <w:right w:val="single" w:color="999999" w:sz="6" w:space="0"/>
            </w:tcBorders>
            <w:shd w:val="clear" w:color="auto" w:fill="E6E6E6"/>
          </w:tcPr>
          <w:p w14:paraId="5BAF15DE">
            <w:pPr>
              <w:pStyle w:val="11"/>
              <w:keepNext w:val="0"/>
              <w:keepLines w:val="0"/>
              <w:widowControl/>
              <w:suppressLineNumbers w:val="0"/>
              <w:rPr>
                <w:rFonts w:hint="default"/>
                <w:b w:val="0"/>
                <w:i w:val="0"/>
                <w:color w:val="000000"/>
                <w:vertAlign w:val="baseline"/>
                <w:lang w:val="en-US" w:eastAsia="zh-CN"/>
              </w:rPr>
            </w:pPr>
            <w:r>
              <w:rPr>
                <w:rFonts w:hint="eastAsia"/>
                <w:b w:val="0"/>
                <w:i w:val="0"/>
                <w:color w:val="000000"/>
                <w:vertAlign w:val="baseline"/>
                <w:lang w:val="en-US" w:eastAsia="zh-CN"/>
              </w:rPr>
              <w:t>5277.7（风力）</w:t>
            </w:r>
          </w:p>
        </w:tc>
        <w:tc>
          <w:tcPr>
            <w:tcW w:w="883" w:type="dxa"/>
            <w:tcBorders>
              <w:top w:val="single" w:color="999999" w:sz="6" w:space="0"/>
              <w:left w:val="single" w:color="999999" w:sz="6" w:space="0"/>
              <w:bottom w:val="single" w:color="999999" w:sz="6" w:space="0"/>
              <w:right w:val="single" w:color="000000" w:sz="6" w:space="0"/>
            </w:tcBorders>
            <w:shd w:val="clear" w:color="auto" w:fill="E6E6E6"/>
          </w:tcPr>
          <w:p w14:paraId="362093C6">
            <w:pPr>
              <w:pStyle w:val="11"/>
              <w:keepNext w:val="0"/>
              <w:keepLines w:val="0"/>
              <w:widowControl/>
              <w:suppressLineNumbers w:val="0"/>
              <w:rPr>
                <w:rFonts w:hint="default"/>
                <w:b w:val="0"/>
                <w:i w:val="0"/>
                <w:color w:val="000000"/>
                <w:vertAlign w:val="baseline"/>
                <w:lang w:val="en-US" w:eastAsia="zh-CN"/>
              </w:rPr>
            </w:pPr>
            <w:r>
              <w:rPr>
                <w:rFonts w:hint="eastAsia"/>
                <w:b w:val="0"/>
                <w:i w:val="0"/>
                <w:color w:val="000000"/>
                <w:vertAlign w:val="baseline"/>
                <w:lang w:val="en-US" w:eastAsia="zh-CN"/>
              </w:rPr>
              <w:t>2432.3</w:t>
            </w:r>
          </w:p>
        </w:tc>
        <w:tc>
          <w:tcPr>
            <w:tcW w:w="873" w:type="dxa"/>
            <w:tcBorders>
              <w:top w:val="single" w:color="999999" w:sz="6" w:space="0"/>
              <w:left w:val="single" w:color="999999" w:sz="6" w:space="0"/>
              <w:bottom w:val="single" w:color="999999" w:sz="6" w:space="0"/>
              <w:right w:val="single" w:color="000000" w:sz="6" w:space="0"/>
            </w:tcBorders>
            <w:shd w:val="clear" w:color="auto" w:fill="E6E6E6"/>
          </w:tcPr>
          <w:p w14:paraId="21C5CBFC">
            <w:pPr>
              <w:pStyle w:val="11"/>
              <w:keepNext w:val="0"/>
              <w:keepLines w:val="0"/>
              <w:widowControl/>
              <w:suppressLineNumbers w:val="0"/>
              <w:rPr>
                <w:rFonts w:hint="default"/>
                <w:b w:val="0"/>
                <w:i w:val="0"/>
                <w:color w:val="000000"/>
                <w:vertAlign w:val="baseline"/>
                <w:lang w:val="en-US" w:eastAsia="zh-CN"/>
              </w:rPr>
            </w:pPr>
            <w:r>
              <w:rPr>
                <w:rFonts w:hint="eastAsia"/>
                <w:b w:val="0"/>
                <w:i w:val="0"/>
                <w:color w:val="000000"/>
                <w:vertAlign w:val="baseline"/>
                <w:lang w:val="en-US" w:eastAsia="zh-CN"/>
              </w:rPr>
              <w:t>897.5</w:t>
            </w:r>
          </w:p>
        </w:tc>
        <w:tc>
          <w:tcPr>
            <w:tcW w:w="847" w:type="dxa"/>
            <w:tcBorders>
              <w:top w:val="single" w:color="999999" w:sz="6" w:space="0"/>
              <w:left w:val="single" w:color="999999" w:sz="6" w:space="0"/>
              <w:bottom w:val="single" w:color="999999" w:sz="6" w:space="0"/>
              <w:right w:val="single" w:color="000000" w:sz="6" w:space="0"/>
            </w:tcBorders>
            <w:shd w:val="clear" w:color="auto" w:fill="E6E6E6"/>
          </w:tcPr>
          <w:p w14:paraId="3C596E5B">
            <w:pPr>
              <w:pStyle w:val="11"/>
              <w:keepNext w:val="0"/>
              <w:keepLines w:val="0"/>
              <w:widowControl/>
              <w:suppressLineNumbers w:val="0"/>
              <w:rPr>
                <w:rFonts w:hint="default"/>
                <w:b w:val="0"/>
                <w:i w:val="0"/>
                <w:color w:val="000000"/>
                <w:vertAlign w:val="baseline"/>
                <w:lang w:val="en-US" w:eastAsia="zh-CN"/>
              </w:rPr>
            </w:pPr>
            <w:r>
              <w:rPr>
                <w:rFonts w:hint="eastAsia"/>
                <w:b w:val="0"/>
                <w:i w:val="0"/>
                <w:color w:val="000000"/>
                <w:vertAlign w:val="baseline"/>
                <w:lang w:val="en-US" w:eastAsia="zh-CN"/>
              </w:rPr>
              <w:t>2638.85</w:t>
            </w:r>
          </w:p>
        </w:tc>
        <w:tc>
          <w:tcPr>
            <w:tcW w:w="847" w:type="dxa"/>
            <w:tcBorders>
              <w:top w:val="single" w:color="999999" w:sz="6" w:space="0"/>
              <w:left w:val="single" w:color="999999" w:sz="6" w:space="0"/>
              <w:bottom w:val="single" w:color="999999" w:sz="6" w:space="0"/>
              <w:right w:val="single" w:color="000000" w:sz="6" w:space="0"/>
            </w:tcBorders>
            <w:shd w:val="clear" w:color="auto" w:fill="E6E6E6"/>
          </w:tcPr>
          <w:p w14:paraId="3D8E394E">
            <w:pPr>
              <w:pStyle w:val="11"/>
              <w:keepNext w:val="0"/>
              <w:keepLines w:val="0"/>
              <w:widowControl/>
              <w:suppressLineNumbers w:val="0"/>
              <w:rPr>
                <w:rFonts w:hint="default"/>
                <w:b w:val="0"/>
                <w:i w:val="0"/>
                <w:color w:val="000000"/>
                <w:vertAlign w:val="baseline"/>
                <w:lang w:val="en-US" w:eastAsia="zh-CN"/>
              </w:rPr>
            </w:pPr>
            <w:r>
              <w:rPr>
                <w:rFonts w:hint="eastAsia"/>
                <w:b w:val="0"/>
                <w:i w:val="0"/>
                <w:color w:val="000000"/>
                <w:vertAlign w:val="baseline"/>
                <w:lang w:val="en-US" w:eastAsia="zh-CN"/>
              </w:rPr>
              <w:t>2432.3</w:t>
            </w:r>
          </w:p>
        </w:tc>
        <w:tc>
          <w:tcPr>
            <w:tcW w:w="847" w:type="dxa"/>
            <w:tcBorders>
              <w:top w:val="single" w:color="999999" w:sz="6" w:space="0"/>
              <w:left w:val="single" w:color="999999" w:sz="6" w:space="0"/>
              <w:bottom w:val="single" w:color="999999" w:sz="6" w:space="0"/>
              <w:right w:val="single" w:color="000000" w:sz="6" w:space="0"/>
            </w:tcBorders>
            <w:shd w:val="clear" w:color="auto" w:fill="E6E6E6"/>
          </w:tcPr>
          <w:p w14:paraId="74B758F2">
            <w:pPr>
              <w:pStyle w:val="11"/>
              <w:keepNext w:val="0"/>
              <w:keepLines w:val="0"/>
              <w:widowControl/>
              <w:suppressLineNumbers w:val="0"/>
              <w:rPr>
                <w:rFonts w:hint="default"/>
                <w:b w:val="0"/>
                <w:i w:val="0"/>
                <w:color w:val="000000"/>
                <w:vertAlign w:val="baseline"/>
                <w:lang w:val="en-US" w:eastAsia="zh-CN"/>
              </w:rPr>
            </w:pPr>
            <w:r>
              <w:rPr>
                <w:rFonts w:hint="eastAsia"/>
                <w:b w:val="0"/>
                <w:i w:val="0"/>
                <w:color w:val="000000"/>
                <w:vertAlign w:val="baseline"/>
                <w:lang w:val="en-US" w:eastAsia="zh-CN"/>
              </w:rPr>
              <w:t>5071.15</w:t>
            </w:r>
          </w:p>
        </w:tc>
        <w:tc>
          <w:tcPr>
            <w:tcW w:w="724" w:type="dxa"/>
            <w:tcBorders>
              <w:top w:val="single" w:color="999999" w:sz="6" w:space="0"/>
              <w:left w:val="single" w:color="999999" w:sz="6" w:space="0"/>
              <w:bottom w:val="single" w:color="999999" w:sz="6" w:space="0"/>
              <w:right w:val="single" w:color="000000" w:sz="6" w:space="0"/>
            </w:tcBorders>
            <w:shd w:val="clear" w:color="auto" w:fill="E6E6E6"/>
          </w:tcPr>
          <w:p w14:paraId="462199A4">
            <w:pPr>
              <w:pStyle w:val="11"/>
              <w:keepNext w:val="0"/>
              <w:keepLines w:val="0"/>
              <w:widowControl/>
              <w:suppressLineNumbers w:val="0"/>
              <w:rPr>
                <w:rFonts w:hint="default"/>
                <w:b w:val="0"/>
                <w:i w:val="0"/>
                <w:color w:val="000000"/>
                <w:vertAlign w:val="baseline"/>
                <w:lang w:val="en-US" w:eastAsia="zh-CN"/>
              </w:rPr>
            </w:pPr>
            <w:r>
              <w:rPr>
                <w:rFonts w:hint="eastAsia"/>
                <w:b w:val="0"/>
                <w:i w:val="0"/>
                <w:color w:val="000000"/>
                <w:vertAlign w:val="baseline"/>
                <w:lang w:val="en-US" w:eastAsia="zh-CN"/>
              </w:rPr>
              <w:t>0.6577</w:t>
            </w:r>
          </w:p>
        </w:tc>
        <w:tc>
          <w:tcPr>
            <w:tcW w:w="724" w:type="dxa"/>
            <w:tcBorders>
              <w:top w:val="single" w:color="999999" w:sz="6" w:space="0"/>
              <w:left w:val="single" w:color="999999" w:sz="6" w:space="0"/>
              <w:bottom w:val="single" w:color="999999" w:sz="6" w:space="0"/>
              <w:right w:val="single" w:color="000000" w:sz="6" w:space="0"/>
            </w:tcBorders>
            <w:shd w:val="clear" w:color="auto" w:fill="E6E6E6"/>
          </w:tcPr>
          <w:p w14:paraId="38B12707">
            <w:pPr>
              <w:pStyle w:val="11"/>
              <w:keepNext w:val="0"/>
              <w:keepLines w:val="0"/>
              <w:widowControl/>
              <w:suppressLineNumbers w:val="0"/>
              <w:rPr>
                <w:rFonts w:hint="default"/>
                <w:b w:val="0"/>
                <w:i w:val="0"/>
                <w:color w:val="000000"/>
                <w:vertAlign w:val="baseline"/>
                <w:lang w:val="en-US" w:eastAsia="zh-CN"/>
              </w:rPr>
            </w:pPr>
            <w:r>
              <w:rPr>
                <w:rFonts w:hint="eastAsia"/>
                <w:b w:val="0"/>
                <w:i w:val="0"/>
                <w:color w:val="000000"/>
                <w:vertAlign w:val="baseline"/>
                <w:lang w:val="en-US" w:eastAsia="zh-CN"/>
              </w:rPr>
              <w:t>0.1453</w:t>
            </w:r>
          </w:p>
        </w:tc>
      </w:tr>
      <w:tr w14:paraId="77005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6" w:hRule="atLeast"/>
        </w:trPr>
        <w:tc>
          <w:tcPr>
            <w:tcW w:w="624" w:type="dxa"/>
            <w:tcBorders>
              <w:top w:val="single" w:color="999999" w:sz="6" w:space="0"/>
              <w:left w:val="single" w:color="000000" w:sz="6" w:space="0"/>
              <w:bottom w:val="single" w:color="999999" w:sz="6" w:space="0"/>
              <w:right w:val="single" w:color="999999" w:sz="6" w:space="0"/>
            </w:tcBorders>
            <w:shd w:val="clear" w:color="auto" w:fill="FFFFFF"/>
          </w:tcPr>
          <w:p w14:paraId="5F8C2A68">
            <w:pPr>
              <w:pStyle w:val="11"/>
              <w:keepNext w:val="0"/>
              <w:keepLines w:val="0"/>
              <w:widowControl/>
              <w:suppressLineNumbers w:val="0"/>
              <w:rPr>
                <w:rFonts w:hint="default"/>
                <w:b/>
                <w:i w:val="0"/>
                <w:color w:val="000000"/>
                <w:vertAlign w:val="baseline"/>
                <w:lang w:val="en-US" w:eastAsia="zh-CN"/>
              </w:rPr>
            </w:pPr>
            <w:r>
              <w:rPr>
                <w:rFonts w:hint="eastAsia"/>
                <w:b/>
                <w:i w:val="0"/>
                <w:color w:val="000000"/>
                <w:vertAlign w:val="baseline"/>
                <w:lang w:val="en-US" w:eastAsia="zh-CN"/>
              </w:rPr>
              <w:t>C</w:t>
            </w:r>
          </w:p>
        </w:tc>
        <w:tc>
          <w:tcPr>
            <w:tcW w:w="819" w:type="dxa"/>
            <w:tcBorders>
              <w:top w:val="single" w:color="999999" w:sz="6" w:space="0"/>
              <w:left w:val="single" w:color="999999" w:sz="6" w:space="0"/>
              <w:bottom w:val="single" w:color="999999" w:sz="6" w:space="0"/>
              <w:right w:val="single" w:color="999999" w:sz="6" w:space="0"/>
            </w:tcBorders>
            <w:shd w:val="clear" w:color="auto" w:fill="FFFFFF"/>
          </w:tcPr>
          <w:p w14:paraId="47DC182F">
            <w:pPr>
              <w:pStyle w:val="11"/>
              <w:keepNext w:val="0"/>
              <w:keepLines w:val="0"/>
              <w:widowControl/>
              <w:suppressLineNumbers w:val="0"/>
              <w:rPr>
                <w:rFonts w:hint="default"/>
                <w:b w:val="0"/>
                <w:i w:val="0"/>
                <w:color w:val="000000"/>
                <w:vertAlign w:val="baseline"/>
                <w:lang w:val="en-US" w:eastAsia="zh-CN"/>
              </w:rPr>
            </w:pPr>
            <w:r>
              <w:rPr>
                <w:rFonts w:hint="eastAsia"/>
                <w:b w:val="0"/>
                <w:i w:val="0"/>
                <w:color w:val="000000"/>
                <w:vertAlign w:val="baseline"/>
                <w:lang w:val="en-US" w:eastAsia="zh-CN"/>
              </w:rPr>
              <w:t>7776</w:t>
            </w:r>
          </w:p>
        </w:tc>
        <w:tc>
          <w:tcPr>
            <w:tcW w:w="1176" w:type="dxa"/>
            <w:tcBorders>
              <w:top w:val="single" w:color="999999" w:sz="6" w:space="0"/>
              <w:left w:val="single" w:color="999999" w:sz="6" w:space="0"/>
              <w:bottom w:val="single" w:color="999999" w:sz="6" w:space="0"/>
              <w:right w:val="single" w:color="999999" w:sz="6" w:space="0"/>
            </w:tcBorders>
            <w:shd w:val="clear" w:color="auto" w:fill="FFFFFF"/>
          </w:tcPr>
          <w:p w14:paraId="1FD969E7">
            <w:pPr>
              <w:pStyle w:val="11"/>
              <w:keepNext w:val="0"/>
              <w:keepLines w:val="0"/>
              <w:widowControl/>
              <w:suppressLineNumbers w:val="0"/>
              <w:rPr>
                <w:rFonts w:hint="default"/>
                <w:b w:val="0"/>
                <w:i w:val="0"/>
                <w:color w:val="000000"/>
                <w:vertAlign w:val="baseline"/>
                <w:lang w:val="en-US" w:eastAsia="zh-CN"/>
              </w:rPr>
            </w:pPr>
            <w:r>
              <w:rPr>
                <w:rFonts w:hint="eastAsia"/>
                <w:b w:val="0"/>
                <w:i w:val="0"/>
                <w:color w:val="000000"/>
                <w:vertAlign w:val="baseline"/>
                <w:lang w:val="en-US" w:eastAsia="zh-CN"/>
              </w:rPr>
              <w:t>6204.63（光伏3296.28＋风力）</w:t>
            </w:r>
          </w:p>
        </w:tc>
        <w:tc>
          <w:tcPr>
            <w:tcW w:w="831" w:type="dxa"/>
            <w:tcBorders>
              <w:top w:val="single" w:color="999999" w:sz="6" w:space="0"/>
              <w:left w:val="single" w:color="999999" w:sz="6" w:space="0"/>
              <w:bottom w:val="single" w:color="999999" w:sz="6" w:space="0"/>
              <w:right w:val="single" w:color="999999" w:sz="6" w:space="0"/>
            </w:tcBorders>
            <w:shd w:val="clear" w:color="auto" w:fill="FFFFFF"/>
          </w:tcPr>
          <w:p w14:paraId="321C01C3">
            <w:pPr>
              <w:pStyle w:val="11"/>
              <w:keepNext w:val="0"/>
              <w:keepLines w:val="0"/>
              <w:widowControl/>
              <w:suppressLineNumbers w:val="0"/>
              <w:rPr>
                <w:rFonts w:hint="default"/>
                <w:b w:val="0"/>
                <w:i w:val="0"/>
                <w:color w:val="000000"/>
                <w:vertAlign w:val="baseline"/>
                <w:lang w:val="en-US" w:eastAsia="zh-CN"/>
              </w:rPr>
            </w:pPr>
            <w:r>
              <w:rPr>
                <w:rFonts w:hint="eastAsia"/>
                <w:b w:val="0"/>
                <w:i w:val="0"/>
                <w:color w:val="000000"/>
                <w:vertAlign w:val="baseline"/>
                <w:lang w:val="en-US" w:eastAsia="zh-CN"/>
              </w:rPr>
              <w:t>5076.61（风电2332.77＋光伏2743.84）</w:t>
            </w:r>
          </w:p>
        </w:tc>
        <w:tc>
          <w:tcPr>
            <w:tcW w:w="883" w:type="dxa"/>
            <w:tcBorders>
              <w:top w:val="single" w:color="999999" w:sz="6" w:space="0"/>
              <w:left w:val="single" w:color="999999" w:sz="6" w:space="0"/>
              <w:bottom w:val="single" w:color="999999" w:sz="6" w:space="0"/>
              <w:right w:val="single" w:color="000000" w:sz="6" w:space="0"/>
            </w:tcBorders>
            <w:shd w:val="clear" w:color="auto" w:fill="FFFFFF"/>
          </w:tcPr>
          <w:p w14:paraId="4F4927B0">
            <w:pPr>
              <w:pStyle w:val="11"/>
              <w:keepNext w:val="0"/>
              <w:keepLines w:val="0"/>
              <w:widowControl/>
              <w:suppressLineNumbers w:val="0"/>
              <w:rPr>
                <w:rFonts w:hint="default"/>
                <w:b w:val="0"/>
                <w:i w:val="0"/>
                <w:color w:val="000000"/>
                <w:vertAlign w:val="baseline"/>
                <w:lang w:val="en-US" w:eastAsia="zh-CN"/>
              </w:rPr>
            </w:pPr>
            <w:r>
              <w:rPr>
                <w:rFonts w:hint="eastAsia"/>
                <w:b w:val="0"/>
                <w:i w:val="0"/>
                <w:color w:val="000000"/>
                <w:vertAlign w:val="baseline"/>
                <w:lang w:val="en-US" w:eastAsia="zh-CN"/>
              </w:rPr>
              <w:t>2699.39</w:t>
            </w:r>
          </w:p>
        </w:tc>
        <w:tc>
          <w:tcPr>
            <w:tcW w:w="873" w:type="dxa"/>
            <w:tcBorders>
              <w:top w:val="single" w:color="999999" w:sz="6" w:space="0"/>
              <w:left w:val="single" w:color="999999" w:sz="6" w:space="0"/>
              <w:bottom w:val="single" w:color="999999" w:sz="6" w:space="0"/>
              <w:right w:val="single" w:color="000000" w:sz="6" w:space="0"/>
            </w:tcBorders>
            <w:shd w:val="clear" w:color="auto" w:fill="FFFFFF"/>
          </w:tcPr>
          <w:p w14:paraId="659C48C3">
            <w:pPr>
              <w:pStyle w:val="11"/>
              <w:keepNext w:val="0"/>
              <w:keepLines w:val="0"/>
              <w:widowControl/>
              <w:suppressLineNumbers w:val="0"/>
              <w:rPr>
                <w:rFonts w:hint="default"/>
                <w:b w:val="0"/>
                <w:i w:val="0"/>
                <w:color w:val="000000"/>
                <w:vertAlign w:val="baseline"/>
                <w:lang w:val="en-US" w:eastAsia="zh-CN"/>
              </w:rPr>
            </w:pPr>
            <w:r>
              <w:rPr>
                <w:rFonts w:hint="eastAsia"/>
                <w:b w:val="0"/>
                <w:i w:val="0"/>
                <w:color w:val="000000"/>
                <w:vertAlign w:val="baseline"/>
                <w:lang w:val="en-US" w:eastAsia="zh-CN"/>
              </w:rPr>
              <w:t>1128.02</w:t>
            </w:r>
          </w:p>
        </w:tc>
        <w:tc>
          <w:tcPr>
            <w:tcW w:w="847" w:type="dxa"/>
            <w:tcBorders>
              <w:top w:val="single" w:color="999999" w:sz="6" w:space="0"/>
              <w:left w:val="single" w:color="999999" w:sz="6" w:space="0"/>
              <w:bottom w:val="single" w:color="999999" w:sz="6" w:space="0"/>
              <w:right w:val="single" w:color="000000" w:sz="6" w:space="0"/>
            </w:tcBorders>
            <w:shd w:val="clear" w:color="auto" w:fill="FFFFFF"/>
          </w:tcPr>
          <w:p w14:paraId="1DEA6916">
            <w:pPr>
              <w:pStyle w:val="11"/>
              <w:keepNext w:val="0"/>
              <w:keepLines w:val="0"/>
              <w:widowControl/>
              <w:suppressLineNumbers w:val="0"/>
              <w:rPr>
                <w:rFonts w:hint="default"/>
                <w:b w:val="0"/>
                <w:i w:val="0"/>
                <w:color w:val="000000"/>
                <w:vertAlign w:val="baseline"/>
                <w:lang w:val="en-US" w:eastAsia="zh-CN"/>
              </w:rPr>
            </w:pPr>
            <w:r>
              <w:rPr>
                <w:rFonts w:hint="eastAsia"/>
                <w:b w:val="0"/>
                <w:i w:val="0"/>
                <w:color w:val="000000"/>
                <w:vertAlign w:val="baseline"/>
                <w:lang w:val="en-US" w:eastAsia="zh-CN"/>
              </w:rPr>
              <w:t>2263.92</w:t>
            </w:r>
          </w:p>
        </w:tc>
        <w:tc>
          <w:tcPr>
            <w:tcW w:w="847" w:type="dxa"/>
            <w:tcBorders>
              <w:top w:val="single" w:color="999999" w:sz="6" w:space="0"/>
              <w:left w:val="single" w:color="999999" w:sz="6" w:space="0"/>
              <w:bottom w:val="single" w:color="999999" w:sz="6" w:space="0"/>
              <w:right w:val="single" w:color="000000" w:sz="6" w:space="0"/>
            </w:tcBorders>
            <w:shd w:val="clear" w:color="auto" w:fill="FFFFFF"/>
          </w:tcPr>
          <w:p w14:paraId="6B35DEDF">
            <w:pPr>
              <w:pStyle w:val="11"/>
              <w:keepNext w:val="0"/>
              <w:keepLines w:val="0"/>
              <w:widowControl/>
              <w:suppressLineNumbers w:val="0"/>
              <w:rPr>
                <w:rFonts w:hint="default"/>
                <w:b w:val="0"/>
                <w:i w:val="0"/>
                <w:color w:val="000000"/>
                <w:vertAlign w:val="baseline"/>
                <w:lang w:val="en-US" w:eastAsia="zh-CN"/>
              </w:rPr>
            </w:pPr>
            <w:r>
              <w:rPr>
                <w:rFonts w:hint="eastAsia"/>
                <w:b w:val="0"/>
                <w:i w:val="0"/>
                <w:color w:val="000000"/>
                <w:vertAlign w:val="baseline"/>
                <w:lang w:val="en-US" w:eastAsia="zh-CN"/>
              </w:rPr>
              <w:t>2699.39</w:t>
            </w:r>
          </w:p>
        </w:tc>
        <w:tc>
          <w:tcPr>
            <w:tcW w:w="847" w:type="dxa"/>
            <w:tcBorders>
              <w:top w:val="single" w:color="999999" w:sz="6" w:space="0"/>
              <w:left w:val="single" w:color="999999" w:sz="6" w:space="0"/>
              <w:bottom w:val="single" w:color="999999" w:sz="6" w:space="0"/>
              <w:right w:val="single" w:color="000000" w:sz="6" w:space="0"/>
            </w:tcBorders>
            <w:shd w:val="clear" w:color="auto" w:fill="FFFFFF"/>
          </w:tcPr>
          <w:p w14:paraId="3D0C12E9">
            <w:pPr>
              <w:pStyle w:val="11"/>
              <w:keepNext w:val="0"/>
              <w:keepLines w:val="0"/>
              <w:widowControl/>
              <w:suppressLineNumbers w:val="0"/>
              <w:rPr>
                <w:rFonts w:hint="default"/>
                <w:b w:val="0"/>
                <w:i w:val="0"/>
                <w:color w:val="000000"/>
                <w:vertAlign w:val="baseline"/>
                <w:lang w:val="en-US" w:eastAsia="zh-CN"/>
              </w:rPr>
            </w:pPr>
            <w:r>
              <w:rPr>
                <w:rFonts w:hint="eastAsia"/>
                <w:b w:val="0"/>
                <w:i w:val="0"/>
                <w:color w:val="000000"/>
                <w:vertAlign w:val="baseline"/>
                <w:lang w:val="en-US" w:eastAsia="zh-CN"/>
              </w:rPr>
              <w:t>4963.31</w:t>
            </w:r>
          </w:p>
        </w:tc>
        <w:tc>
          <w:tcPr>
            <w:tcW w:w="724" w:type="dxa"/>
            <w:tcBorders>
              <w:top w:val="single" w:color="999999" w:sz="6" w:space="0"/>
              <w:left w:val="single" w:color="999999" w:sz="6" w:space="0"/>
              <w:bottom w:val="single" w:color="999999" w:sz="6" w:space="0"/>
              <w:right w:val="single" w:color="000000" w:sz="6" w:space="0"/>
            </w:tcBorders>
            <w:shd w:val="clear" w:color="auto" w:fill="FFFFFF"/>
          </w:tcPr>
          <w:p w14:paraId="10CAA0FC">
            <w:pPr>
              <w:pStyle w:val="11"/>
              <w:keepNext w:val="0"/>
              <w:keepLines w:val="0"/>
              <w:widowControl/>
              <w:suppressLineNumbers w:val="0"/>
              <w:rPr>
                <w:rFonts w:hint="default"/>
                <w:b w:val="0"/>
                <w:i w:val="0"/>
                <w:color w:val="000000"/>
                <w:vertAlign w:val="baseline"/>
                <w:lang w:val="en-US" w:eastAsia="zh-CN"/>
              </w:rPr>
            </w:pPr>
            <w:r>
              <w:rPr>
                <w:rFonts w:hint="eastAsia"/>
                <w:b w:val="0"/>
                <w:i w:val="0"/>
                <w:color w:val="000000"/>
                <w:vertAlign w:val="baseline"/>
                <w:lang w:val="en-US" w:eastAsia="zh-CN"/>
              </w:rPr>
              <w:t>0.6383</w:t>
            </w:r>
          </w:p>
        </w:tc>
        <w:tc>
          <w:tcPr>
            <w:tcW w:w="724" w:type="dxa"/>
            <w:tcBorders>
              <w:top w:val="single" w:color="999999" w:sz="6" w:space="0"/>
              <w:left w:val="single" w:color="999999" w:sz="6" w:space="0"/>
              <w:bottom w:val="single" w:color="999999" w:sz="6" w:space="0"/>
              <w:right w:val="single" w:color="000000" w:sz="6" w:space="0"/>
            </w:tcBorders>
            <w:shd w:val="clear" w:color="auto" w:fill="FFFFFF"/>
          </w:tcPr>
          <w:p w14:paraId="46848EB0">
            <w:pPr>
              <w:pStyle w:val="11"/>
              <w:keepNext w:val="0"/>
              <w:keepLines w:val="0"/>
              <w:widowControl/>
              <w:suppressLineNumbers w:val="0"/>
              <w:rPr>
                <w:rFonts w:hint="default"/>
                <w:b w:val="0"/>
                <w:i w:val="0"/>
                <w:color w:val="000000"/>
                <w:vertAlign w:val="baseline"/>
                <w:lang w:val="en-US" w:eastAsia="zh-CN"/>
              </w:rPr>
            </w:pPr>
            <w:r>
              <w:rPr>
                <w:rFonts w:hint="eastAsia"/>
                <w:b w:val="0"/>
                <w:i w:val="0"/>
                <w:color w:val="000000"/>
                <w:vertAlign w:val="baseline"/>
                <w:lang w:val="en-US" w:eastAsia="zh-CN"/>
              </w:rPr>
              <w:t>0.1818</w:t>
            </w:r>
          </w:p>
        </w:tc>
      </w:tr>
    </w:tbl>
    <w:p w14:paraId="374D0FF9">
      <w:pPr>
        <w:pStyle w:val="11"/>
        <w:keepNext w:val="0"/>
        <w:keepLines w:val="0"/>
        <w:widowControl/>
        <w:suppressLineNumbers w:val="0"/>
        <w:spacing w:line="240" w:lineRule="auto"/>
        <w:ind w:left="0" w:firstLine="480"/>
        <w:jc w:val="left"/>
        <w:textAlignment w:val="center"/>
        <w:rPr>
          <w:rFonts w:hint="eastAsia"/>
          <w:lang w:val="en-US" w:eastAsia="zh-CN"/>
        </w:rPr>
      </w:pPr>
      <w:r>
        <w:rPr>
          <w:rFonts w:hint="eastAsia"/>
          <w:lang w:val="en-US" w:eastAsia="zh-CN"/>
        </w:rPr>
        <w:drawing>
          <wp:inline distT="0" distB="0" distL="114300" distR="114300">
            <wp:extent cx="5699760" cy="1817370"/>
            <wp:effectExtent l="0" t="0" r="2540" b="11430"/>
            <wp:docPr id="3" name="图片 3" descr="figure_20260922_081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ure_20260922_081450"/>
                    <pic:cNvPicPr>
                      <a:picLocks noChangeAspect="1"/>
                    </pic:cNvPicPr>
                  </pic:nvPicPr>
                  <pic:blipFill>
                    <a:blip r:embed="rId13"/>
                    <a:stretch>
                      <a:fillRect/>
                    </a:stretch>
                  </pic:blipFill>
                  <pic:spPr>
                    <a:xfrm>
                      <a:off x="0" y="0"/>
                      <a:ext cx="5699760" cy="1817370"/>
                    </a:xfrm>
                    <a:prstGeom prst="rect">
                      <a:avLst/>
                    </a:prstGeom>
                  </pic:spPr>
                </pic:pic>
              </a:graphicData>
            </a:graphic>
          </wp:inline>
        </w:drawing>
      </w:r>
    </w:p>
    <w:p w14:paraId="02FCDCCB">
      <w:pPr>
        <w:pStyle w:val="11"/>
        <w:keepNext w:val="0"/>
        <w:keepLines w:val="0"/>
        <w:widowControl/>
        <w:suppressLineNumbers w:val="0"/>
        <w:spacing w:line="240" w:lineRule="auto"/>
        <w:ind w:left="0" w:firstLine="480"/>
        <w:jc w:val="left"/>
        <w:textAlignment w:val="center"/>
        <w:rPr>
          <w:rFonts w:hint="default"/>
          <w:lang w:val="en-US" w:eastAsia="zh-CN"/>
        </w:rPr>
      </w:pPr>
      <w:r>
        <w:rPr>
          <w:rFonts w:hint="eastAsia"/>
          <w:lang w:val="en-US" w:eastAsia="zh-CN"/>
        </w:rPr>
        <w:t xml:space="preserve">                              图1.4.4</w:t>
      </w:r>
    </w:p>
    <w:p w14:paraId="3F6CEF60">
      <w:pPr>
        <w:pStyle w:val="11"/>
        <w:keepNext w:val="0"/>
        <w:keepLines w:val="0"/>
        <w:widowControl/>
        <w:suppressLineNumbers w:val="0"/>
        <w:spacing w:line="240" w:lineRule="auto"/>
        <w:jc w:val="left"/>
        <w:textAlignment w:val="center"/>
      </w:pPr>
      <w:r>
        <w:rPr>
          <w:rFonts w:hint="eastAsia"/>
          <w:lang w:val="en-US" w:eastAsia="zh-CN"/>
        </w:rPr>
        <w:t xml:space="preserve"> 数据分析：①</w:t>
      </w:r>
      <w:r>
        <w:rPr>
          <w:rFonts w:hint="eastAsia" w:ascii="宋体" w:hAnsi="宋体" w:eastAsia="宋体" w:cs="宋体"/>
          <w:b/>
          <w:bCs/>
          <w:color w:val="000000"/>
          <w:spacing w:val="0"/>
          <w:position w:val="0"/>
          <w:sz w:val="24"/>
          <w:szCs w:val="24"/>
        </w:rPr>
        <w:t>园区A 的供电成本最高（0 .7701 元/kWh），几乎与直接购电</w:t>
      </w:r>
      <w:r>
        <w:rPr>
          <w:rFonts w:hint="eastAsia" w:ascii="宋体" w:hAnsi="宋体" w:eastAsia="宋体" w:cs="宋体"/>
          <w:b/>
          <w:bCs/>
          <w:color w:val="000000"/>
          <w:spacing w:val="0"/>
          <w:position w:val="0"/>
          <w:sz w:val="24"/>
          <w:szCs w:val="24"/>
          <w:lang w:eastAsia="zh-CN"/>
        </w:rPr>
        <w:t>（</w:t>
      </w:r>
      <w:r>
        <w:rPr>
          <w:rFonts w:hint="eastAsia" w:ascii="宋体" w:hAnsi="宋体" w:eastAsia="宋体" w:cs="宋体"/>
          <w:b/>
          <w:bCs/>
          <w:color w:val="000000"/>
          <w:spacing w:val="0"/>
          <w:position w:val="0"/>
          <w:sz w:val="24"/>
          <w:szCs w:val="24"/>
          <w:lang w:val="en-US" w:eastAsia="zh-CN"/>
        </w:rPr>
        <w:t>1元/KWh</w:t>
      </w:r>
      <w:r>
        <w:rPr>
          <w:rFonts w:hint="eastAsia" w:ascii="宋体" w:hAnsi="宋体" w:eastAsia="宋体" w:cs="宋体"/>
          <w:b/>
          <w:bCs/>
          <w:color w:val="000000"/>
          <w:spacing w:val="0"/>
          <w:position w:val="0"/>
          <w:sz w:val="24"/>
          <w:szCs w:val="24"/>
          <w:lang w:eastAsia="zh-CN"/>
        </w:rPr>
        <w:t>）</w:t>
      </w:r>
      <w:r>
        <w:rPr>
          <w:rFonts w:hint="eastAsia" w:ascii="宋体" w:hAnsi="宋体" w:eastAsia="宋体" w:cs="宋体"/>
          <w:b/>
          <w:bCs/>
          <w:color w:val="000000"/>
          <w:spacing w:val="0"/>
          <w:position w:val="0"/>
          <w:sz w:val="24"/>
          <w:szCs w:val="24"/>
        </w:rPr>
        <w:t>无异</w:t>
      </w:r>
      <w:r>
        <w:rPr>
          <w:rFonts w:hint="eastAsia" w:ascii="宋体" w:hAnsi="宋体" w:eastAsia="宋体" w:cs="宋体"/>
          <w:color w:val="000000"/>
          <w:spacing w:val="0"/>
          <w:position w:val="0"/>
          <w:sz w:val="24"/>
          <w:szCs w:val="24"/>
        </w:rPr>
        <w:t>。其根本原因并非弃电（弃电率虽最高，但绝对量仅951.2 kWh），而是</w:t>
      </w:r>
      <w:r>
        <w:rPr>
          <w:rFonts w:hint="eastAsia" w:ascii="宋体" w:hAnsi="宋体" w:eastAsia="宋体" w:cs="宋体"/>
          <w:color w:val="000000"/>
          <w:spacing w:val="0"/>
          <w:position w:val="0"/>
          <w:sz w:val="24"/>
          <w:szCs w:val="24"/>
          <w:lang w:val="en-US" w:eastAsia="zh-CN"/>
        </w:rPr>
        <w:t>由于光伏</w:t>
      </w:r>
      <w:r>
        <w:rPr>
          <w:rFonts w:hint="eastAsia" w:ascii="宋体" w:hAnsi="宋体" w:eastAsia="宋体" w:cs="宋体"/>
          <w:b/>
          <w:bCs/>
          <w:color w:val="000000"/>
          <w:spacing w:val="0"/>
          <w:position w:val="0"/>
          <w:sz w:val="24"/>
          <w:szCs w:val="24"/>
        </w:rPr>
        <w:t>装机不足</w:t>
      </w:r>
      <w:r>
        <w:rPr>
          <w:rFonts w:hint="eastAsia" w:ascii="宋体" w:hAnsi="宋体" w:eastAsia="宋体" w:cs="宋体"/>
          <w:color w:val="000000"/>
          <w:spacing w:val="0"/>
          <w:position w:val="0"/>
          <w:sz w:val="24"/>
          <w:szCs w:val="24"/>
        </w:rPr>
        <w:t>：750 kW 光伏相对447 kW 峰值负荷，日发电量3 978.1 kWh ，</w:t>
      </w:r>
      <w:r>
        <w:rPr>
          <w:rFonts w:hint="eastAsia" w:ascii="宋体" w:hAnsi="宋体" w:eastAsia="宋体" w:cs="宋体"/>
          <w:color w:val="000000"/>
          <w:spacing w:val="0"/>
          <w:position w:val="0"/>
          <w:sz w:val="24"/>
          <w:szCs w:val="24"/>
          <w:lang w:val="en-US" w:eastAsia="zh-CN"/>
        </w:rPr>
        <w:t>约占园区总负荷电量的50％，</w:t>
      </w:r>
      <w:r>
        <w:rPr>
          <w:rFonts w:hint="eastAsia" w:ascii="宋体" w:hAnsi="宋体" w:eastAsia="宋体" w:cs="宋体"/>
          <w:color w:val="000000"/>
          <w:spacing w:val="0"/>
          <w:position w:val="0"/>
          <w:sz w:val="24"/>
          <w:szCs w:val="24"/>
        </w:rPr>
        <w:t>其余</w:t>
      </w:r>
      <w:r>
        <w:rPr>
          <w:rFonts w:hint="eastAsia" w:ascii="宋体" w:hAnsi="宋体" w:eastAsia="宋体" w:cs="宋体"/>
          <w:color w:val="000000"/>
          <w:spacing w:val="0"/>
          <w:position w:val="0"/>
          <w:sz w:val="24"/>
          <w:szCs w:val="24"/>
          <w:lang w:val="en-US" w:eastAsia="zh-CN"/>
        </w:rPr>
        <w:t>,50</w:t>
      </w:r>
      <w:r>
        <w:rPr>
          <w:rFonts w:hint="eastAsia" w:ascii="宋体" w:hAnsi="宋体" w:eastAsia="宋体" w:cs="宋体"/>
          <w:color w:val="000000"/>
          <w:spacing w:val="0"/>
          <w:position w:val="0"/>
          <w:sz w:val="24"/>
          <w:szCs w:val="24"/>
        </w:rPr>
        <w:t>%必须按1 元/kWh 购入。同时，光伏</w:t>
      </w:r>
      <w:r>
        <w:rPr>
          <w:rFonts w:hint="eastAsia" w:ascii="宋体" w:hAnsi="宋体" w:eastAsia="宋体" w:cs="宋体"/>
          <w:color w:val="000000"/>
          <w:spacing w:val="0"/>
          <w:position w:val="0"/>
          <w:sz w:val="24"/>
          <w:szCs w:val="24"/>
          <w:lang w:val="en-US" w:eastAsia="zh-CN"/>
        </w:rPr>
        <w:t>在某个时刻的最高值</w:t>
      </w:r>
      <w:r>
        <w:rPr>
          <w:rFonts w:hint="eastAsia" w:ascii="宋体" w:hAnsi="宋体" w:eastAsia="宋体" w:cs="宋体"/>
          <w:color w:val="000000"/>
          <w:spacing w:val="0"/>
          <w:position w:val="0"/>
          <w:sz w:val="24"/>
          <w:szCs w:val="24"/>
        </w:rPr>
        <w:t>与其</w:t>
      </w:r>
      <w:r>
        <w:rPr>
          <w:rFonts w:hint="eastAsia" w:ascii="宋体" w:hAnsi="宋体" w:eastAsia="宋体" w:cs="宋体"/>
          <w:color w:val="000000"/>
          <w:spacing w:val="0"/>
          <w:position w:val="0"/>
          <w:sz w:val="24"/>
          <w:szCs w:val="24"/>
          <w:lang w:val="en-US" w:eastAsia="zh-CN"/>
        </w:rPr>
        <w:t>时效性</w:t>
      </w:r>
      <w:r>
        <w:rPr>
          <w:rFonts w:hint="eastAsia" w:ascii="宋体" w:hAnsi="宋体" w:eastAsia="宋体" w:cs="宋体"/>
          <w:color w:val="000000"/>
          <w:spacing w:val="0"/>
          <w:position w:val="0"/>
          <w:sz w:val="24"/>
          <w:szCs w:val="24"/>
        </w:rPr>
        <w:t>，导致即便在出力时段也有951.2 kWh 被弃掉，弃电率高达23.91%。"装机小+</w:t>
      </w:r>
      <w:r>
        <w:rPr>
          <w:rFonts w:hint="eastAsia" w:ascii="宋体" w:hAnsi="宋体" w:eastAsia="宋体" w:cs="宋体"/>
          <w:color w:val="000000"/>
          <w:spacing w:val="0"/>
          <w:position w:val="0"/>
          <w:sz w:val="24"/>
          <w:szCs w:val="24"/>
          <w:lang w:val="en-US" w:eastAsia="zh-CN"/>
        </w:rPr>
        <w:t>时间错开</w:t>
      </w:r>
      <w:r>
        <w:rPr>
          <w:rFonts w:hint="eastAsia" w:ascii="宋体" w:hAnsi="宋体" w:eastAsia="宋体" w:cs="宋体"/>
          <w:color w:val="000000"/>
          <w:spacing w:val="0"/>
          <w:position w:val="0"/>
          <w:sz w:val="24"/>
          <w:szCs w:val="24"/>
        </w:rPr>
        <w:t>"，使A 成为三园区中供电成本最高者。</w:t>
      </w:r>
    </w:p>
    <w:p w14:paraId="15A89907">
      <w:pPr>
        <w:pStyle w:val="11"/>
        <w:keepNext w:val="0"/>
        <w:keepLines w:val="0"/>
        <w:widowControl/>
        <w:numPr>
          <w:ilvl w:val="0"/>
          <w:numId w:val="3"/>
        </w:numPr>
        <w:suppressLineNumbers w:val="0"/>
        <w:spacing w:line="240" w:lineRule="auto"/>
        <w:ind w:left="0" w:firstLine="478"/>
        <w:jc w:val="left"/>
        <w:textAlignment w:val="center"/>
        <w:rPr>
          <w:rFonts w:hint="eastAsia" w:ascii="宋体" w:hAnsi="宋体" w:eastAsia="宋体" w:cs="宋体"/>
          <w:color w:val="000000"/>
          <w:spacing w:val="0"/>
          <w:position w:val="0"/>
          <w:sz w:val="24"/>
          <w:szCs w:val="24"/>
        </w:rPr>
      </w:pPr>
      <w:r>
        <w:rPr>
          <w:rFonts w:hint="eastAsia" w:ascii="宋体" w:hAnsi="宋体" w:eastAsia="宋体" w:cs="宋体"/>
          <w:b/>
          <w:bCs/>
          <w:color w:val="000000"/>
          <w:spacing w:val="0"/>
          <w:position w:val="0"/>
          <w:sz w:val="24"/>
          <w:szCs w:val="24"/>
        </w:rPr>
        <w:t>园区B 与C 的成本较低且接近（0 .6577</w:t>
      </w:r>
      <w:r>
        <w:rPr>
          <w:rFonts w:hint="eastAsia" w:ascii="宋体" w:hAnsi="宋体" w:eastAsia="宋体" w:cs="宋体"/>
          <w:b/>
          <w:bCs/>
          <w:color w:val="000000"/>
          <w:spacing w:val="0"/>
          <w:position w:val="0"/>
          <w:sz w:val="24"/>
          <w:szCs w:val="24"/>
          <w:lang w:val="en-US" w:eastAsia="zh-CN"/>
        </w:rPr>
        <w:t>元/kWh</w:t>
      </w:r>
      <w:r>
        <w:rPr>
          <w:rFonts w:hint="eastAsia" w:ascii="宋体" w:hAnsi="宋体" w:eastAsia="宋体" w:cs="宋体"/>
          <w:b/>
          <w:bCs/>
          <w:color w:val="000000"/>
          <w:spacing w:val="0"/>
          <w:position w:val="0"/>
          <w:sz w:val="24"/>
          <w:szCs w:val="24"/>
        </w:rPr>
        <w:t xml:space="preserve"> 与0.6383 元/kWh）</w:t>
      </w:r>
      <w:r>
        <w:rPr>
          <w:rFonts w:hint="eastAsia" w:ascii="宋体" w:hAnsi="宋体" w:eastAsia="宋体" w:cs="宋体"/>
          <w:color w:val="000000"/>
          <w:spacing w:val="0"/>
          <w:position w:val="0"/>
          <w:sz w:val="24"/>
          <w:szCs w:val="24"/>
        </w:rPr>
        <w:t>。B园区风电装机1000 kW 为其峰值负荷的2.39 倍，</w:t>
      </w:r>
      <w:r>
        <w:rPr>
          <w:rFonts w:hint="eastAsia" w:ascii="宋体" w:hAnsi="宋体" w:eastAsia="宋体" w:cs="宋体"/>
          <w:color w:val="000000"/>
          <w:spacing w:val="0"/>
          <w:position w:val="0"/>
          <w:sz w:val="24"/>
          <w:szCs w:val="24"/>
          <w:lang w:val="en-US" w:eastAsia="zh-CN"/>
        </w:rPr>
        <w:t>绿电自用占负荷比例为</w:t>
      </w:r>
      <w:r>
        <w:rPr>
          <w:rFonts w:hint="eastAsia" w:ascii="宋体" w:hAnsi="宋体" w:eastAsia="宋体" w:cs="宋体"/>
          <w:color w:val="000000"/>
          <w:spacing w:val="0"/>
          <w:position w:val="0"/>
          <w:sz w:val="24"/>
          <w:szCs w:val="24"/>
        </w:rPr>
        <w:t>68.45%；C 园区虽装机绝对值较小（500</w:t>
      </w:r>
      <w:r>
        <w:rPr>
          <w:rFonts w:hint="eastAsia" w:ascii="宋体" w:hAnsi="宋体" w:eastAsia="宋体" w:cs="宋体"/>
          <w:color w:val="000000"/>
          <w:spacing w:val="0"/>
          <w:position w:val="0"/>
          <w:sz w:val="24"/>
          <w:szCs w:val="24"/>
          <w:lang w:val="en-US" w:eastAsia="zh-CN"/>
        </w:rPr>
        <w:t>Kw</w:t>
      </w:r>
      <w:r>
        <w:rPr>
          <w:rFonts w:hint="eastAsia" w:ascii="宋体" w:hAnsi="宋体" w:eastAsia="宋体" w:cs="宋体"/>
          <w:color w:val="000000"/>
          <w:spacing w:val="0"/>
          <w:position w:val="0"/>
          <w:sz w:val="24"/>
          <w:szCs w:val="24"/>
        </w:rPr>
        <w:t xml:space="preserve"> +600 kW），但风光互补</w:t>
      </w:r>
      <w:r>
        <w:rPr>
          <w:rFonts w:hint="eastAsia" w:ascii="宋体" w:hAnsi="宋体" w:eastAsia="宋体" w:cs="宋体"/>
          <w:color w:val="000000"/>
          <w:spacing w:val="0"/>
          <w:position w:val="0"/>
          <w:sz w:val="24"/>
          <w:szCs w:val="24"/>
          <w:lang w:eastAsia="zh-CN"/>
        </w:rPr>
        <w:t>，</w:t>
      </w:r>
      <w:r>
        <w:rPr>
          <w:rFonts w:hint="eastAsia" w:ascii="宋体" w:hAnsi="宋体" w:eastAsia="宋体" w:cs="宋体"/>
          <w:color w:val="000000"/>
          <w:spacing w:val="0"/>
          <w:position w:val="0"/>
          <w:sz w:val="24"/>
          <w:szCs w:val="24"/>
        </w:rPr>
        <w:t>且低成本光伏占比更高，因此单位成本最低。</w:t>
      </w:r>
    </w:p>
    <w:p w14:paraId="3C041522">
      <w:pPr>
        <w:pStyle w:val="11"/>
        <w:keepNext w:val="0"/>
        <w:keepLines w:val="0"/>
        <w:widowControl/>
        <w:numPr>
          <w:ilvl w:val="0"/>
          <w:numId w:val="0"/>
        </w:numPr>
        <w:suppressLineNumbers w:val="0"/>
        <w:spacing w:line="240" w:lineRule="auto"/>
        <w:ind w:left="478" w:leftChars="0" w:right="0" w:rightChars="0"/>
        <w:jc w:val="left"/>
        <w:textAlignment w:val="center"/>
      </w:pPr>
      <w:r>
        <w:rPr>
          <w:rFonts w:hint="eastAsia" w:ascii="宋体" w:hAnsi="宋体" w:eastAsia="宋体" w:cs="宋体"/>
          <w:color w:val="000000"/>
          <w:spacing w:val="0"/>
          <w:position w:val="0"/>
          <w:sz w:val="24"/>
          <w:szCs w:val="24"/>
        </w:rPr>
        <w:t>第三，</w:t>
      </w:r>
      <w:r>
        <w:rPr>
          <w:rFonts w:hint="eastAsia" w:ascii="宋体" w:hAnsi="宋体" w:eastAsia="宋体" w:cs="宋体"/>
          <w:b/>
          <w:bCs/>
          <w:color w:val="000000"/>
          <w:spacing w:val="0"/>
          <w:position w:val="0"/>
          <w:sz w:val="24"/>
          <w:szCs w:val="24"/>
        </w:rPr>
        <w:t>三个园区都存在不可忽略的弃电</w:t>
      </w:r>
      <w:r>
        <w:rPr>
          <w:rFonts w:hint="eastAsia" w:ascii="宋体" w:hAnsi="宋体" w:eastAsia="宋体" w:cs="宋体"/>
          <w:color w:val="000000"/>
          <w:spacing w:val="0"/>
          <w:position w:val="0"/>
          <w:sz w:val="24"/>
          <w:szCs w:val="24"/>
        </w:rPr>
        <w:t xml:space="preserve">。弃电量分别为951.2、897.5 </w:t>
      </w:r>
      <w:r>
        <w:rPr>
          <w:rFonts w:hint="eastAsia" w:ascii="宋体" w:hAnsi="宋体" w:eastAsia="宋体" w:cs="宋体"/>
          <w:color w:val="000000"/>
          <w:spacing w:val="0"/>
          <w:position w:val="0"/>
          <w:sz w:val="24"/>
          <w:szCs w:val="24"/>
          <w:lang w:eastAsia="zh-CN"/>
        </w:rPr>
        <w:t>，</w:t>
      </w:r>
      <w:r>
        <w:rPr>
          <w:rFonts w:hint="eastAsia" w:ascii="宋体" w:hAnsi="宋体" w:eastAsia="宋体" w:cs="宋体"/>
          <w:color w:val="000000"/>
          <w:spacing w:val="0"/>
          <w:position w:val="0"/>
          <w:sz w:val="24"/>
          <w:szCs w:val="24"/>
        </w:rPr>
        <w:t xml:space="preserve">1128.0 kWh/日，合计2 976.7 kWh/日。若这些电量能全部被转移至缺口时段，理论上可减少等量购电、节省约2 976.7 ×(1 .0 </w:t>
      </w:r>
      <w:r>
        <w:rPr>
          <w:rFonts w:ascii="Arial" w:hAnsi="Arial" w:cs="Arial"/>
          <w:color w:val="000000"/>
          <w:spacing w:val="0"/>
          <w:position w:val="0"/>
          <w:sz w:val="24"/>
          <w:szCs w:val="24"/>
        </w:rPr>
        <w:t xml:space="preserve">− </w:t>
      </w:r>
      <w:r>
        <w:rPr>
          <w:rFonts w:hint="eastAsia" w:ascii="宋体" w:hAnsi="宋体" w:eastAsia="宋体" w:cs="宋体"/>
          <w:color w:val="000000"/>
          <w:spacing w:val="0"/>
          <w:position w:val="0"/>
          <w:sz w:val="24"/>
          <w:szCs w:val="24"/>
        </w:rPr>
        <w:t>0.42)≈1 729 元/日。</w:t>
      </w:r>
    </w:p>
    <w:p w14:paraId="31D62074">
      <w:pPr>
        <w:keepNext w:val="0"/>
        <w:keepLines w:val="0"/>
        <w:widowControl/>
        <w:suppressLineNumbers w:val="0"/>
        <w:ind w:firstLine="480" w:firstLineChars="200"/>
        <w:jc w:val="left"/>
      </w:pPr>
      <w:r>
        <w:rPr>
          <w:rFonts w:hint="eastAsia" w:ascii="宋体" w:hAnsi="宋体" w:eastAsia="宋体" w:cs="宋体"/>
          <w:color w:val="000000"/>
          <w:spacing w:val="0"/>
          <w:kern w:val="0"/>
          <w:position w:val="0"/>
          <w:sz w:val="24"/>
          <w:szCs w:val="24"/>
          <w:lang w:val="en-US" w:eastAsia="zh-CN" w:bidi="ar"/>
        </w:rPr>
        <w:t>第四，</w:t>
      </w:r>
      <w:r>
        <w:rPr>
          <w:rFonts w:hint="eastAsia" w:ascii="宋体" w:hAnsi="宋体" w:eastAsia="宋体" w:cs="宋体"/>
          <w:b/>
          <w:bCs/>
          <w:color w:val="000000"/>
          <w:spacing w:val="0"/>
          <w:kern w:val="0"/>
          <w:position w:val="0"/>
          <w:sz w:val="24"/>
          <w:szCs w:val="24"/>
          <w:lang w:val="en-US" w:eastAsia="zh-CN" w:bidi="ar"/>
        </w:rPr>
        <w:t>园区A 的绿电成本最低（1 210.8 元）但总成本最高</w:t>
      </w:r>
      <w:r>
        <w:rPr>
          <w:rFonts w:hint="eastAsia" w:ascii="宋体" w:hAnsi="宋体" w:eastAsia="宋体" w:cs="宋体"/>
          <w:color w:val="000000"/>
          <w:spacing w:val="0"/>
          <w:kern w:val="0"/>
          <w:position w:val="0"/>
          <w:sz w:val="24"/>
          <w:szCs w:val="24"/>
          <w:lang w:val="en-US" w:eastAsia="zh-CN" w:bidi="ar"/>
        </w:rPr>
        <w:t>，因为它购电量最大；而园区B 的绿电成本最高（2 638.9 元）因为其风电使用成本为0.5 元/kWh、且自用电量大。</w:t>
      </w:r>
    </w:p>
    <w:p w14:paraId="7D9843AB">
      <w:pPr>
        <w:pStyle w:val="11"/>
        <w:keepNext w:val="0"/>
        <w:keepLines w:val="0"/>
        <w:widowControl/>
        <w:suppressLineNumbers w:val="0"/>
        <w:rPr>
          <w:rFonts w:hint="eastAsia"/>
          <w:lang w:val="en-US" w:eastAsia="zh-CN"/>
        </w:rPr>
      </w:pPr>
      <w:r>
        <w:rPr>
          <w:rFonts w:hint="eastAsia"/>
          <w:lang w:val="en-US" w:eastAsia="zh-CN"/>
        </w:rPr>
        <w:t xml:space="preserve">                        </w:t>
      </w:r>
    </w:p>
    <w:p w14:paraId="5BE8293C">
      <w:pPr>
        <w:pStyle w:val="5"/>
        <w:bidi w:val="0"/>
        <w:rPr>
          <w:rFonts w:hint="eastAsia"/>
          <w:lang w:val="en-US" w:eastAsia="zh-CN"/>
        </w:rPr>
      </w:pPr>
    </w:p>
    <w:p w14:paraId="079B0C7C">
      <w:pPr>
        <w:pStyle w:val="5"/>
        <w:bidi w:val="0"/>
        <w:rPr>
          <w:rFonts w:hint="eastAsia"/>
          <w:lang w:val="en-US" w:eastAsia="zh-CN"/>
        </w:rPr>
      </w:pPr>
      <w:r>
        <w:rPr>
          <w:rFonts w:hint="eastAsia"/>
          <w:lang w:val="en-US" w:eastAsia="zh-CN"/>
        </w:rPr>
        <w:t>2主要原理</w:t>
      </w:r>
    </w:p>
    <w:p w14:paraId="5860F2C8">
      <w:pPr>
        <w:pStyle w:val="6"/>
        <w:bidi w:val="0"/>
        <w:rPr>
          <w:rFonts w:hint="eastAsia"/>
          <w:lang w:val="en-US" w:eastAsia="zh-CN"/>
        </w:rPr>
      </w:pPr>
      <w:r>
        <w:rPr>
          <w:rFonts w:hint="eastAsia"/>
          <w:lang w:val="en-US" w:eastAsia="zh-CN"/>
        </w:rPr>
        <w:t>2.1主要模型</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3000"/>
      </w:tblGrid>
      <w:tr w14:paraId="5926087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0DC01F0C">
            <w:pPr>
              <w:spacing w:before="120" w:after="120" w:line="288" w:lineRule="auto"/>
              <w:ind w:left="0"/>
              <w:jc w:val="left"/>
            </w:pPr>
            <w:r>
              <w:rPr>
                <w:rFonts w:ascii="Arial" w:hAnsi="Arial" w:eastAsia="等线" w:cs="Arial"/>
                <w:sz w:val="22"/>
              </w:rPr>
              <w:t>符号</w:t>
            </w:r>
          </w:p>
        </w:tc>
        <w:tc>
          <w:tcPr>
            <w:tcW w:w="3000" w:type="dxa"/>
            <w:tcMar>
              <w:top w:w="60" w:type="dxa"/>
              <w:left w:w="120" w:type="dxa"/>
              <w:bottom w:w="30" w:type="dxa"/>
              <w:right w:w="120" w:type="dxa"/>
            </w:tcMar>
          </w:tcPr>
          <w:p w14:paraId="2539138C">
            <w:pPr>
              <w:spacing w:before="120" w:after="120" w:line="288" w:lineRule="auto"/>
              <w:ind w:left="0"/>
              <w:jc w:val="left"/>
            </w:pPr>
            <w:r>
              <w:rPr>
                <w:rFonts w:ascii="Arial" w:hAnsi="Arial" w:eastAsia="等线" w:cs="Arial"/>
                <w:sz w:val="22"/>
              </w:rPr>
              <w:t>含义</w:t>
            </w:r>
          </w:p>
        </w:tc>
      </w:tr>
      <w:tr w14:paraId="6064232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0ACF77F5">
            <w:pPr>
              <w:spacing w:before="120" w:after="120" w:line="288" w:lineRule="auto"/>
              <w:ind w:left="0"/>
              <w:jc w:val="left"/>
            </w:pPr>
            <m:oMathPara>
              <m:oMathParaPr>
                <m:jc m:val="left"/>
              </m:oMathParaPr>
              <m:oMath>
                <m:r>
                  <m:rPr/>
                  <w:rPr>
                    <w:rFonts w:ascii="Cambria Math" w:hAnsi="Cambria Math"/>
                  </w:rPr>
                  <m:t>t</m:t>
                </m:r>
              </m:oMath>
            </m:oMathPara>
          </w:p>
        </w:tc>
        <w:tc>
          <w:tcPr>
            <w:tcW w:w="3000" w:type="dxa"/>
            <w:tcMar>
              <w:top w:w="60" w:type="dxa"/>
              <w:left w:w="120" w:type="dxa"/>
              <w:bottom w:w="30" w:type="dxa"/>
              <w:right w:w="120" w:type="dxa"/>
            </w:tcMar>
          </w:tcPr>
          <w:p w14:paraId="0A85503F">
            <w:pPr>
              <w:spacing w:before="120" w:after="120" w:line="288" w:lineRule="auto"/>
              <w:ind w:left="0"/>
              <w:jc w:val="left"/>
            </w:pPr>
            <w:r>
              <w:rPr>
                <w:rFonts w:ascii="Arial" w:hAnsi="Arial" w:eastAsia="等线" w:cs="Arial"/>
                <w:sz w:val="22"/>
              </w:rPr>
              <w:t>调度时段，</w:t>
            </w:r>
            <m:oMath>
              <m:r>
                <m:rPr/>
                <w:rPr>
                  <w:rFonts w:ascii="Cambria Math" w:hAnsi="Cambria Math"/>
                </w:rPr>
                <m:t>t=1,2,…,T</m:t>
              </m:r>
            </m:oMath>
          </w:p>
        </w:tc>
      </w:tr>
      <w:tr w14:paraId="7FF24A9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336E2F4D">
            <w:pPr>
              <w:spacing w:before="120" w:after="120" w:line="288" w:lineRule="auto"/>
              <w:ind w:left="0"/>
              <w:jc w:val="left"/>
            </w:pPr>
            <m:oMathPara>
              <m:oMathParaPr>
                <m:jc m:val="left"/>
              </m:oMathParaPr>
              <m:oMath>
                <m:sSub>
                  <m:sSubPr/>
                  <m:e>
                    <m:r>
                      <m:rPr/>
                      <w:rPr>
                        <w:rFonts w:ascii="Cambria Math" w:hAnsi="Cambria Math"/>
                      </w:rPr>
                      <m:t>P</m:t>
                    </m:r>
                  </m:e>
                  <m:sub>
                    <m:r>
                      <m:rPr/>
                      <w:rPr>
                        <w:rFonts w:ascii="Cambria Math" w:hAnsi="Cambria Math"/>
                      </w:rPr>
                      <m:t>w,t</m:t>
                    </m:r>
                  </m:sub>
                </m:sSub>
              </m:oMath>
            </m:oMathPara>
          </w:p>
        </w:tc>
        <w:tc>
          <w:tcPr>
            <w:tcW w:w="3000" w:type="dxa"/>
            <w:tcMar>
              <w:top w:w="60" w:type="dxa"/>
              <w:left w:w="120" w:type="dxa"/>
              <w:bottom w:w="30" w:type="dxa"/>
              <w:right w:w="120" w:type="dxa"/>
            </w:tcMar>
          </w:tcPr>
          <w:p w14:paraId="78192DAE">
            <w:pPr>
              <w:spacing w:before="120" w:after="120" w:line="288" w:lineRule="auto"/>
              <w:ind w:left="0"/>
              <w:jc w:val="left"/>
            </w:pPr>
            <m:oMath>
              <m:r>
                <m:rPr/>
                <w:rPr>
                  <w:rFonts w:ascii="Cambria Math" w:hAnsi="Cambria Math"/>
                </w:rPr>
                <m:t>t</m:t>
              </m:r>
            </m:oMath>
            <w:r>
              <w:rPr>
                <w:rFonts w:ascii="Arial" w:hAnsi="Arial" w:eastAsia="等线" w:cs="Arial"/>
                <w:sz w:val="22"/>
              </w:rPr>
              <w:t>时刻风电预测出力（MW，随机变量）</w:t>
            </w:r>
          </w:p>
        </w:tc>
      </w:tr>
      <w:tr w14:paraId="0629C62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1EEC73F1">
            <w:pPr>
              <w:spacing w:before="120" w:after="120" w:line="288" w:lineRule="auto"/>
              <w:ind w:left="0"/>
              <w:jc w:val="left"/>
            </w:pPr>
            <m:oMathPara>
              <m:oMathParaPr>
                <m:jc m:val="left"/>
              </m:oMathParaPr>
              <m:oMath>
                <m:sSub>
                  <m:sSubPr/>
                  <m:e>
                    <m:r>
                      <m:rPr/>
                      <w:rPr>
                        <w:rFonts w:ascii="Cambria Math" w:hAnsi="Cambria Math"/>
                      </w:rPr>
                      <m:t>P</m:t>
                    </m:r>
                  </m:e>
                  <m:sub>
                    <m:r>
                      <m:rPr/>
                      <w:rPr>
                        <w:rFonts w:ascii="Cambria Math" w:hAnsi="Cambria Math"/>
                      </w:rPr>
                      <m:t>w,real,t</m:t>
                    </m:r>
                  </m:sub>
                </m:sSub>
              </m:oMath>
            </m:oMathPara>
          </w:p>
        </w:tc>
        <w:tc>
          <w:tcPr>
            <w:tcW w:w="3000" w:type="dxa"/>
            <w:tcMar>
              <w:top w:w="60" w:type="dxa"/>
              <w:left w:w="120" w:type="dxa"/>
              <w:bottom w:w="30" w:type="dxa"/>
              <w:right w:w="120" w:type="dxa"/>
            </w:tcMar>
          </w:tcPr>
          <w:p w14:paraId="1C97F065">
            <w:pPr>
              <w:spacing w:before="120" w:after="120" w:line="288" w:lineRule="auto"/>
              <w:ind w:left="0"/>
              <w:jc w:val="left"/>
            </w:pPr>
            <m:oMath>
              <m:r>
                <m:rPr/>
                <w:rPr>
                  <w:rFonts w:ascii="Cambria Math" w:hAnsi="Cambria Math"/>
                </w:rPr>
                <m:t>t</m:t>
              </m:r>
            </m:oMath>
            <w:r>
              <w:rPr>
                <w:rFonts w:ascii="Arial" w:hAnsi="Arial" w:eastAsia="等线" w:cs="Arial"/>
                <w:sz w:val="22"/>
              </w:rPr>
              <w:t>时刻风电实际出力</w:t>
            </w:r>
          </w:p>
        </w:tc>
      </w:tr>
      <w:tr w14:paraId="2D19216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19E9B93A">
            <w:pPr>
              <w:spacing w:before="120" w:after="120" w:line="288" w:lineRule="auto"/>
              <w:ind w:left="0"/>
              <w:jc w:val="left"/>
            </w:pPr>
            <m:oMathPara>
              <m:oMathParaPr>
                <m:jc m:val="left"/>
              </m:oMathParaPr>
              <m:oMath>
                <m:sSub>
                  <m:sSubPr/>
                  <m:e>
                    <m:r>
                      <m:rPr/>
                      <w:rPr>
                        <w:rFonts w:ascii="Cambria Math" w:hAnsi="Cambria Math"/>
                      </w:rPr>
                      <m:t>P</m:t>
                    </m:r>
                  </m:e>
                  <m:sub>
                    <m:r>
                      <m:rPr/>
                      <w:rPr>
                        <w:rFonts w:ascii="Cambria Math" w:hAnsi="Cambria Math"/>
                      </w:rPr>
                      <m:t>s,t</m:t>
                    </m:r>
                  </m:sub>
                </m:sSub>
              </m:oMath>
            </m:oMathPara>
          </w:p>
        </w:tc>
        <w:tc>
          <w:tcPr>
            <w:tcW w:w="3000" w:type="dxa"/>
            <w:tcMar>
              <w:top w:w="60" w:type="dxa"/>
              <w:left w:w="120" w:type="dxa"/>
              <w:bottom w:w="30" w:type="dxa"/>
              <w:right w:w="120" w:type="dxa"/>
            </w:tcMar>
          </w:tcPr>
          <w:p w14:paraId="13996668">
            <w:pPr>
              <w:spacing w:before="120" w:after="120" w:line="288" w:lineRule="auto"/>
              <w:ind w:left="0"/>
              <w:jc w:val="left"/>
            </w:pPr>
            <w:r>
              <w:rPr>
                <w:rFonts w:ascii="Arial" w:hAnsi="Arial" w:eastAsia="等线" w:cs="Arial"/>
                <w:sz w:val="22"/>
              </w:rPr>
              <w:t>储能充放电功率；放电为正，充电为负（MW）</w:t>
            </w:r>
          </w:p>
        </w:tc>
      </w:tr>
      <w:tr w14:paraId="3F85D60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75FE2E4C">
            <w:pPr>
              <w:spacing w:before="120" w:after="120" w:line="288" w:lineRule="auto"/>
              <w:ind w:left="0"/>
              <w:jc w:val="left"/>
            </w:pPr>
            <m:oMathPara>
              <m:oMathParaPr>
                <m:jc m:val="left"/>
              </m:oMathParaPr>
              <m:oMath>
                <m:sSub>
                  <m:sSubPr/>
                  <m:e>
                    <m:r>
                      <m:rPr/>
                      <w:rPr>
                        <w:rFonts w:ascii="Cambria Math" w:hAnsi="Cambria Math"/>
                      </w:rPr>
                      <m:t>P</m:t>
                    </m:r>
                  </m:e>
                  <m:sub>
                    <m:r>
                      <m:rPr/>
                      <w:rPr>
                        <w:rFonts w:ascii="Cambria Math" w:hAnsi="Cambria Math"/>
                      </w:rPr>
                      <m:t>grid,t</m:t>
                    </m:r>
                  </m:sub>
                </m:sSub>
              </m:oMath>
            </m:oMathPara>
          </w:p>
        </w:tc>
        <w:tc>
          <w:tcPr>
            <w:tcW w:w="3000" w:type="dxa"/>
            <w:tcMar>
              <w:top w:w="60" w:type="dxa"/>
              <w:left w:w="120" w:type="dxa"/>
              <w:bottom w:w="30" w:type="dxa"/>
              <w:right w:w="120" w:type="dxa"/>
            </w:tcMar>
          </w:tcPr>
          <w:p w14:paraId="38652AE3">
            <w:pPr>
              <w:spacing w:before="120" w:after="120" w:line="288" w:lineRule="auto"/>
              <w:ind w:left="0"/>
              <w:jc w:val="left"/>
            </w:pPr>
            <w:r>
              <w:rPr>
                <w:rFonts w:ascii="Arial" w:hAnsi="Arial" w:eastAsia="等线" w:cs="Arial"/>
                <w:sz w:val="22"/>
              </w:rPr>
              <w:t>与电网交互功率，购电为负（MW）</w:t>
            </w:r>
          </w:p>
        </w:tc>
      </w:tr>
      <w:tr w14:paraId="513BA46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26199E21">
            <w:pPr>
              <w:spacing w:before="120" w:after="120" w:line="288" w:lineRule="auto"/>
              <w:ind w:left="0"/>
              <w:jc w:val="left"/>
            </w:pPr>
            <m:oMathPara>
              <m:oMathParaPr>
                <m:jc m:val="left"/>
              </m:oMathParaPr>
              <m:oMath>
                <m:sSub>
                  <m:sSubPr/>
                  <m:e>
                    <m:r>
                      <m:rPr/>
                      <w:rPr>
                        <w:rFonts w:ascii="Cambria Math" w:hAnsi="Cambria Math"/>
                      </w:rPr>
                      <m:t>P</m:t>
                    </m:r>
                  </m:e>
                  <m:sub>
                    <m:r>
                      <m:rPr/>
                      <w:rPr>
                        <w:rFonts w:ascii="Cambria Math" w:hAnsi="Cambria Math"/>
                      </w:rPr>
                      <m:t>load,t</m:t>
                    </m:r>
                  </m:sub>
                </m:sSub>
              </m:oMath>
            </m:oMathPara>
          </w:p>
        </w:tc>
        <w:tc>
          <w:tcPr>
            <w:tcW w:w="3000" w:type="dxa"/>
            <w:tcMar>
              <w:top w:w="60" w:type="dxa"/>
              <w:left w:w="120" w:type="dxa"/>
              <w:bottom w:w="30" w:type="dxa"/>
              <w:right w:w="120" w:type="dxa"/>
            </w:tcMar>
          </w:tcPr>
          <w:p w14:paraId="62B3E6F3">
            <w:pPr>
              <w:spacing w:before="120" w:after="120" w:line="288" w:lineRule="auto"/>
              <w:ind w:left="0"/>
              <w:jc w:val="left"/>
            </w:pPr>
            <w:r>
              <w:rPr>
                <w:rFonts w:ascii="Arial" w:hAnsi="Arial" w:eastAsia="等线" w:cs="Arial"/>
                <w:sz w:val="22"/>
              </w:rPr>
              <w:t>可控负荷消耗功率（MW）</w:t>
            </w:r>
          </w:p>
        </w:tc>
      </w:tr>
      <w:tr w14:paraId="0252E50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5606C50F">
            <w:pPr>
              <w:spacing w:before="120" w:after="120" w:line="288" w:lineRule="auto"/>
              <w:ind w:left="0"/>
              <w:jc w:val="left"/>
            </w:pPr>
            <m:oMathPara>
              <m:oMathParaPr>
                <m:jc m:val="left"/>
              </m:oMathParaPr>
              <m:oMath>
                <m:sSub>
                  <m:sSubPr/>
                  <m:e>
                    <m:r>
                      <m:rPr/>
                      <w:rPr>
                        <w:rFonts w:ascii="Cambria Math" w:hAnsi="Cambria Math"/>
                      </w:rPr>
                      <m:t>E</m:t>
                    </m:r>
                  </m:e>
                  <m:sub>
                    <m:r>
                      <m:rPr/>
                      <w:rPr>
                        <w:rFonts w:ascii="Cambria Math" w:hAnsi="Cambria Math"/>
                      </w:rPr>
                      <m:t>s,t</m:t>
                    </m:r>
                  </m:sub>
                </m:sSub>
              </m:oMath>
            </m:oMathPara>
          </w:p>
        </w:tc>
        <w:tc>
          <w:tcPr>
            <w:tcW w:w="3000" w:type="dxa"/>
            <w:tcMar>
              <w:top w:w="60" w:type="dxa"/>
              <w:left w:w="120" w:type="dxa"/>
              <w:bottom w:w="30" w:type="dxa"/>
              <w:right w:w="120" w:type="dxa"/>
            </w:tcMar>
          </w:tcPr>
          <w:p w14:paraId="049B414E">
            <w:pPr>
              <w:spacing w:before="120" w:after="120" w:line="288" w:lineRule="auto"/>
              <w:ind w:left="0"/>
              <w:jc w:val="left"/>
            </w:pPr>
            <w:r>
              <w:rPr>
                <w:rFonts w:ascii="Arial" w:hAnsi="Arial" w:eastAsia="等线" w:cs="Arial"/>
                <w:sz w:val="22"/>
              </w:rPr>
              <w:t>储能</w:t>
            </w:r>
            <m:oMath>
              <m:r>
                <m:rPr/>
                <w:rPr>
                  <w:rFonts w:ascii="Cambria Math" w:hAnsi="Cambria Math"/>
                </w:rPr>
                <m:t>t</m:t>
              </m:r>
            </m:oMath>
            <w:r>
              <w:rPr>
                <w:rFonts w:ascii="Arial" w:hAnsi="Arial" w:eastAsia="等线" w:cs="Arial"/>
                <w:sz w:val="22"/>
              </w:rPr>
              <w:t>时刻剩余电量（MWh）</w:t>
            </w:r>
          </w:p>
        </w:tc>
      </w:tr>
      <w:tr w14:paraId="5DCC8C7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5FB5071C">
            <w:pPr>
              <w:spacing w:before="120" w:after="120" w:line="288" w:lineRule="auto"/>
              <w:ind w:left="0"/>
              <w:jc w:val="left"/>
            </w:pPr>
            <m:oMathPara>
              <m:oMathParaPr>
                <m:jc m:val="left"/>
              </m:oMathParaPr>
              <m:oMath>
                <m:sSub>
                  <m:sSubPr/>
                  <m:e>
                    <m:r>
                      <m:rPr/>
                      <w:rPr>
                        <w:rFonts w:ascii="Cambria Math" w:hAnsi="Cambria Math"/>
                      </w:rPr>
                      <m:t>C</m:t>
                    </m:r>
                  </m:e>
                  <m:sub>
                    <m:r>
                      <m:rPr/>
                      <w:rPr>
                        <w:rFonts w:ascii="Cambria Math" w:hAnsi="Cambria Math"/>
                      </w:rPr>
                      <m:t>w</m:t>
                    </m:r>
                  </m:sub>
                </m:sSub>
              </m:oMath>
            </m:oMathPara>
          </w:p>
        </w:tc>
        <w:tc>
          <w:tcPr>
            <w:tcW w:w="3000" w:type="dxa"/>
            <w:tcMar>
              <w:top w:w="60" w:type="dxa"/>
              <w:left w:w="120" w:type="dxa"/>
              <w:bottom w:w="30" w:type="dxa"/>
              <w:right w:w="120" w:type="dxa"/>
            </w:tcMar>
          </w:tcPr>
          <w:p w14:paraId="7B5DAA90">
            <w:pPr>
              <w:spacing w:before="120" w:after="120" w:line="288" w:lineRule="auto"/>
              <w:ind w:left="0"/>
              <w:jc w:val="left"/>
            </w:pPr>
            <w:r>
              <w:rPr>
                <w:rFonts w:ascii="Arial" w:hAnsi="Arial" w:eastAsia="等线" w:cs="Arial"/>
                <w:sz w:val="22"/>
              </w:rPr>
              <w:t>弃风惩罚成本系数</w:t>
            </w:r>
          </w:p>
        </w:tc>
      </w:tr>
      <w:tr w14:paraId="4BEAE28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702" w:hRule="atLeast"/>
        </w:trPr>
        <w:tc>
          <w:tcPr>
            <w:tcW w:w="3000" w:type="dxa"/>
            <w:tcMar>
              <w:top w:w="60" w:type="dxa"/>
              <w:left w:w="120" w:type="dxa"/>
              <w:bottom w:w="30" w:type="dxa"/>
              <w:right w:w="120" w:type="dxa"/>
            </w:tcMar>
          </w:tcPr>
          <w:p w14:paraId="03CCBB2C">
            <w:pPr>
              <w:spacing w:before="120" w:after="120" w:line="288" w:lineRule="auto"/>
              <w:ind w:left="0"/>
              <w:jc w:val="left"/>
            </w:pPr>
            <m:oMathPara>
              <m:oMathParaPr>
                <m:jc m:val="left"/>
              </m:oMathParaPr>
              <m:oMath>
                <m:sSub>
                  <m:sSubPr/>
                  <m:e>
                    <m:r>
                      <m:rPr/>
                      <w:rPr>
                        <w:rFonts w:ascii="Cambria Math" w:hAnsi="Cambria Math"/>
                      </w:rPr>
                      <m:t>C</m:t>
                    </m:r>
                  </m:e>
                  <m:sub>
                    <m:r>
                      <m:rPr/>
                      <w:rPr>
                        <w:rFonts w:ascii="Cambria Math" w:hAnsi="Cambria Math"/>
                      </w:rPr>
                      <m:t>grid</m:t>
                    </m:r>
                  </m:sub>
                </m:sSub>
              </m:oMath>
            </m:oMathPara>
          </w:p>
        </w:tc>
        <w:tc>
          <w:tcPr>
            <w:tcW w:w="3000" w:type="dxa"/>
            <w:tcMar>
              <w:top w:w="60" w:type="dxa"/>
              <w:left w:w="120" w:type="dxa"/>
              <w:bottom w:w="30" w:type="dxa"/>
              <w:right w:w="120" w:type="dxa"/>
            </w:tcMar>
          </w:tcPr>
          <w:p w14:paraId="101CE52F">
            <w:pPr>
              <w:spacing w:before="120" w:after="120" w:line="288" w:lineRule="auto"/>
              <w:ind w:left="0"/>
              <w:jc w:val="left"/>
            </w:pPr>
            <w:r>
              <w:rPr>
                <w:rFonts w:ascii="Arial" w:hAnsi="Arial" w:eastAsia="等线" w:cs="Arial"/>
                <w:sz w:val="22"/>
              </w:rPr>
              <w:t>电网购售电电价</w:t>
            </w:r>
          </w:p>
        </w:tc>
      </w:tr>
      <w:tr w14:paraId="49ADFC8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4C5B9ED1">
            <w:pPr>
              <w:spacing w:before="120" w:after="120" w:line="288" w:lineRule="auto"/>
              <w:ind w:left="0"/>
              <w:jc w:val="left"/>
            </w:pPr>
            <m:oMathPara>
              <m:oMathParaPr>
                <m:jc m:val="left"/>
              </m:oMathParaPr>
              <m:oMath>
                <m:sSub>
                  <m:sSubPr/>
                  <m:e>
                    <m:r>
                      <m:rPr/>
                      <w:rPr>
                        <w:rFonts w:ascii="Cambria Math" w:hAnsi="Cambria Math"/>
                      </w:rPr>
                      <m:t>C</m:t>
                    </m:r>
                  </m:e>
                  <m:sub>
                    <m:r>
                      <m:rPr/>
                      <w:rPr>
                        <w:rFonts w:ascii="Cambria Math" w:hAnsi="Cambria Math"/>
                      </w:rPr>
                      <m:t>deg</m:t>
                    </m:r>
                  </m:sub>
                </m:sSub>
              </m:oMath>
            </m:oMathPara>
          </w:p>
        </w:tc>
        <w:tc>
          <w:tcPr>
            <w:tcW w:w="3000" w:type="dxa"/>
            <w:tcMar>
              <w:top w:w="60" w:type="dxa"/>
              <w:left w:w="120" w:type="dxa"/>
              <w:bottom w:w="30" w:type="dxa"/>
              <w:right w:w="120" w:type="dxa"/>
            </w:tcMar>
          </w:tcPr>
          <w:p w14:paraId="3FD634AD">
            <w:pPr>
              <w:spacing w:before="120" w:after="120" w:line="288" w:lineRule="auto"/>
              <w:ind w:left="0"/>
              <w:jc w:val="left"/>
            </w:pPr>
            <w:r>
              <w:rPr>
                <w:rFonts w:ascii="Arial" w:hAnsi="Arial" w:eastAsia="等线" w:cs="Arial"/>
                <w:sz w:val="22"/>
              </w:rPr>
              <w:t>储能折旧损耗成本</w:t>
            </w:r>
          </w:p>
        </w:tc>
      </w:tr>
      <w:tr w14:paraId="0C53EB6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477C11F6">
            <w:pPr>
              <w:spacing w:before="120" w:after="120" w:line="288" w:lineRule="auto"/>
              <w:ind w:left="0"/>
              <w:jc w:val="left"/>
            </w:pPr>
            <m:oMathPara>
              <m:oMathParaPr>
                <m:jc m:val="left"/>
              </m:oMathParaPr>
              <m:oMath>
                <m:sSub>
                  <m:sSubPr/>
                  <m:e>
                    <m:r>
                      <m:rPr/>
                      <w:rPr>
                        <w:rFonts w:ascii="Cambria Math" w:hAnsi="Cambria Math"/>
                      </w:rPr>
                      <m:t>η</m:t>
                    </m:r>
                  </m:e>
                  <m:sub>
                    <m:r>
                      <m:rPr/>
                      <w:rPr>
                        <w:rFonts w:ascii="Cambria Math" w:hAnsi="Cambria Math"/>
                      </w:rPr>
                      <m:t>c</m:t>
                    </m:r>
                  </m:sub>
                </m:sSub>
                <m:r>
                  <m:rPr/>
                  <w:rPr>
                    <w:rFonts w:ascii="Cambria Math" w:hAnsi="Cambria Math"/>
                  </w:rPr>
                  <m:t>,</m:t>
                </m:r>
                <m:sSub>
                  <m:sSubPr/>
                  <m:e>
                    <m:r>
                      <m:rPr/>
                      <w:rPr>
                        <w:rFonts w:ascii="Cambria Math" w:hAnsi="Cambria Math"/>
                      </w:rPr>
                      <m:t>η</m:t>
                    </m:r>
                  </m:e>
                  <m:sub>
                    <m:r>
                      <m:rPr/>
                      <w:rPr>
                        <w:rFonts w:ascii="Cambria Math" w:hAnsi="Cambria Math"/>
                      </w:rPr>
                      <m:t>d</m:t>
                    </m:r>
                  </m:sub>
                </m:sSub>
              </m:oMath>
            </m:oMathPara>
          </w:p>
        </w:tc>
        <w:tc>
          <w:tcPr>
            <w:tcW w:w="3000" w:type="dxa"/>
            <w:tcMar>
              <w:top w:w="60" w:type="dxa"/>
              <w:left w:w="120" w:type="dxa"/>
              <w:bottom w:w="30" w:type="dxa"/>
              <w:right w:w="120" w:type="dxa"/>
            </w:tcMar>
          </w:tcPr>
          <w:p w14:paraId="661A6B59">
            <w:pPr>
              <w:spacing w:before="120" w:after="120" w:line="288" w:lineRule="auto"/>
              <w:ind w:left="0"/>
              <w:jc w:val="left"/>
            </w:pPr>
            <w:r>
              <w:rPr>
                <w:rFonts w:ascii="Arial" w:hAnsi="Arial" w:eastAsia="等线" w:cs="Arial"/>
                <w:sz w:val="22"/>
              </w:rPr>
              <w:t>储能充电、放电效率</w:t>
            </w:r>
          </w:p>
        </w:tc>
      </w:tr>
    </w:tbl>
    <w:p w14:paraId="304819C5">
      <w:pPr>
        <w:rPr>
          <w:rFonts w:hint="eastAsia"/>
          <w:lang w:val="en-US" w:eastAsia="zh-CN"/>
        </w:rPr>
      </w:pPr>
    </w:p>
    <w:p w14:paraId="7F675962">
      <w:pPr>
        <w:pStyle w:val="7"/>
        <w:bidi w:val="0"/>
        <w:rPr>
          <w:rFonts w:hint="eastAsia"/>
          <w:lang w:val="en-US" w:eastAsia="zh-CN"/>
        </w:rPr>
      </w:pPr>
      <w:r>
        <w:rPr>
          <w:rFonts w:hint="eastAsia"/>
          <w:lang w:val="en-US" w:eastAsia="zh-CN"/>
        </w:rPr>
        <w:t>1风光发电模型</w:t>
      </w:r>
    </w:p>
    <w:p w14:paraId="353DDC53">
      <w:pPr>
        <w:pStyle w:val="11"/>
        <w:keepNext w:val="0"/>
        <w:keepLines w:val="0"/>
        <w:widowControl/>
        <w:numPr>
          <w:ilvl w:val="0"/>
          <w:numId w:val="0"/>
        </w:numPr>
        <w:suppressLineNumbers w:val="0"/>
        <w:spacing w:line="240" w:lineRule="auto"/>
        <w:ind w:right="0" w:rightChars="0"/>
        <w:jc w:val="left"/>
        <w:textAlignment w:val="center"/>
        <w:rPr>
          <w:rFonts w:hint="eastAsia" w:ascii="宋体" w:hAnsi="宋体" w:eastAsia="宋体" w:cs="宋体"/>
          <w:color w:val="000000"/>
          <w:spacing w:val="0"/>
          <w:position w:val="0"/>
          <w:sz w:val="24"/>
          <w:szCs w:val="24"/>
          <w:lang w:val="en-US" w:eastAsia="zh-CN"/>
        </w:rPr>
      </w:pPr>
      <w:r>
        <w:rPr>
          <w:rFonts w:hint="eastAsia" w:ascii="宋体" w:hAnsi="宋体" w:eastAsia="宋体" w:cs="宋体"/>
          <w:color w:val="000000"/>
          <w:spacing w:val="0"/>
          <w:position w:val="0"/>
          <w:sz w:val="24"/>
          <w:szCs w:val="24"/>
        </w:rPr>
        <w:t>设园区</w:t>
      </w:r>
      <w:r>
        <w:rPr>
          <w:rFonts w:hint="eastAsia" w:ascii="宋体" w:hAnsi="宋体" w:eastAsia="宋体" w:cs="宋体"/>
          <w:color w:val="000000"/>
          <w:spacing w:val="0"/>
          <w:position w:val="0"/>
          <w:sz w:val="24"/>
          <w:szCs w:val="24"/>
          <w:lang w:val="en-US" w:eastAsia="zh-CN"/>
        </w:rPr>
        <w:t>x</w:t>
      </w:r>
      <w:r>
        <w:rPr>
          <w:rFonts w:hint="eastAsia" w:ascii="宋体" w:hAnsi="宋体" w:eastAsia="宋体" w:cs="宋体"/>
          <w:color w:val="000000"/>
          <w:spacing w:val="0"/>
          <w:position w:val="0"/>
          <w:sz w:val="24"/>
          <w:szCs w:val="24"/>
        </w:rPr>
        <w:t xml:space="preserve"> 的风电</w:t>
      </w:r>
      <w:r>
        <w:rPr>
          <w:rFonts w:hint="eastAsia" w:ascii="宋体" w:hAnsi="宋体" w:eastAsia="宋体" w:cs="宋体"/>
          <w:color w:val="000000"/>
          <w:spacing w:val="0"/>
          <w:position w:val="0"/>
          <w:sz w:val="24"/>
          <w:szCs w:val="24"/>
          <w:lang w:val="en-US" w:eastAsia="zh-CN"/>
        </w:rPr>
        <w:t>容量</w:t>
      </w:r>
      <w:r>
        <w:rPr>
          <w:rFonts w:hint="eastAsia" w:ascii="宋体" w:hAnsi="宋体" w:eastAsia="宋体" w:cs="宋体"/>
          <w:color w:val="000000"/>
          <w:spacing w:val="0"/>
          <w:position w:val="0"/>
          <w:sz w:val="24"/>
          <w:szCs w:val="24"/>
        </w:rPr>
        <w:t>为</w:t>
      </w:r>
      <w:r>
        <w:rPr>
          <w:rFonts w:hint="eastAsia" w:ascii="宋体" w:hAnsi="宋体" w:eastAsia="宋体" w:cs="宋体"/>
          <w:color w:val="000000"/>
          <w:spacing w:val="0"/>
          <w:position w:val="0"/>
          <w:sz w:val="24"/>
          <w:szCs w:val="24"/>
          <w:lang w:val="en-US" w:eastAsia="zh-CN"/>
        </w:rPr>
        <w:t>W</w:t>
      </w:r>
      <w:r>
        <w:rPr>
          <w:rFonts w:hint="eastAsia" w:ascii="宋体" w:hAnsi="宋体" w:eastAsia="宋体" w:cs="宋体"/>
          <w:color w:val="000000"/>
          <w:spacing w:val="0"/>
          <w:position w:val="0"/>
          <w:sz w:val="24"/>
          <w:szCs w:val="24"/>
        </w:rPr>
        <w:t>cap (p)、光伏</w:t>
      </w:r>
      <w:r>
        <w:rPr>
          <w:rFonts w:hint="eastAsia" w:ascii="宋体" w:hAnsi="宋体" w:eastAsia="宋体" w:cs="宋体"/>
          <w:color w:val="000000"/>
          <w:spacing w:val="0"/>
          <w:position w:val="0"/>
          <w:sz w:val="24"/>
          <w:szCs w:val="24"/>
          <w:lang w:val="en-US" w:eastAsia="zh-CN"/>
        </w:rPr>
        <w:t>容量</w:t>
      </w:r>
      <w:r>
        <w:rPr>
          <w:rFonts w:hint="eastAsia" w:ascii="宋体" w:hAnsi="宋体" w:eastAsia="宋体" w:cs="宋体"/>
          <w:color w:val="000000"/>
          <w:spacing w:val="0"/>
          <w:position w:val="0"/>
          <w:sz w:val="24"/>
          <w:szCs w:val="24"/>
        </w:rPr>
        <w:t>为</w:t>
      </w:r>
      <w:r>
        <w:rPr>
          <w:rFonts w:hint="eastAsia" w:ascii="宋体" w:hAnsi="宋体" w:eastAsia="宋体" w:cs="宋体"/>
          <w:color w:val="000000"/>
          <w:spacing w:val="0"/>
          <w:position w:val="0"/>
          <w:sz w:val="24"/>
          <w:szCs w:val="24"/>
          <w:lang w:val="en-US" w:eastAsia="zh-CN"/>
        </w:rPr>
        <w:t>W</w:t>
      </w:r>
      <w:r>
        <w:rPr>
          <w:rFonts w:hint="eastAsia" w:ascii="宋体" w:hAnsi="宋体" w:eastAsia="宋体" w:cs="宋体"/>
          <w:color w:val="000000"/>
          <w:spacing w:val="0"/>
          <w:position w:val="0"/>
          <w:sz w:val="24"/>
          <w:szCs w:val="24"/>
        </w:rPr>
        <w:t>cap (p)，</w:t>
      </w:r>
      <w:r>
        <w:rPr>
          <w:rFonts w:hint="eastAsia" w:ascii="宋体" w:hAnsi="宋体" w:eastAsia="宋体" w:cs="宋体"/>
          <w:color w:val="000000"/>
          <w:spacing w:val="0"/>
          <w:position w:val="0"/>
          <w:sz w:val="24"/>
          <w:szCs w:val="24"/>
          <w:lang w:val="en-US" w:eastAsia="zh-CN"/>
        </w:rPr>
        <w:t>题目</w:t>
      </w:r>
      <w:r>
        <w:rPr>
          <w:rFonts w:hint="eastAsia" w:ascii="宋体" w:hAnsi="宋体" w:eastAsia="宋体" w:cs="宋体"/>
          <w:color w:val="000000"/>
          <w:spacing w:val="0"/>
          <w:position w:val="0"/>
          <w:sz w:val="24"/>
          <w:szCs w:val="24"/>
        </w:rPr>
        <w:t>给出的标幺值序列为w</w:t>
      </w:r>
      <w:r>
        <w:rPr>
          <w:rFonts w:hint="eastAsia" w:ascii="宋体" w:hAnsi="宋体" w:eastAsia="宋体" w:cs="宋体"/>
          <w:color w:val="000000"/>
          <w:spacing w:val="0"/>
          <w:position w:val="0"/>
          <w:sz w:val="24"/>
          <w:szCs w:val="24"/>
          <w:vertAlign w:val="subscript"/>
          <w:lang w:val="en-US" w:eastAsia="zh-CN"/>
        </w:rPr>
        <w:t>pu</w:t>
      </w:r>
      <w:r>
        <w:rPr>
          <w:rFonts w:hint="eastAsia" w:ascii="宋体" w:hAnsi="宋体" w:eastAsia="宋体" w:cs="宋体"/>
          <w:color w:val="000000"/>
          <w:spacing w:val="0"/>
          <w:position w:val="0"/>
          <w:sz w:val="24"/>
          <w:szCs w:val="24"/>
        </w:rPr>
        <w:t xml:space="preserve"> (t)与v</w:t>
      </w:r>
      <w:r>
        <w:rPr>
          <w:rFonts w:hint="eastAsia" w:ascii="宋体" w:hAnsi="宋体" w:eastAsia="宋体" w:cs="宋体"/>
          <w:color w:val="000000"/>
          <w:spacing w:val="0"/>
          <w:position w:val="0"/>
          <w:sz w:val="24"/>
          <w:szCs w:val="24"/>
          <w:vertAlign w:val="subscript"/>
          <w:lang w:val="en-US" w:eastAsia="zh-CN"/>
        </w:rPr>
        <w:t>pu</w:t>
      </w:r>
      <w:r>
        <w:rPr>
          <w:rFonts w:hint="eastAsia" w:ascii="宋体" w:hAnsi="宋体" w:eastAsia="宋体" w:cs="宋体"/>
          <w:color w:val="000000"/>
          <w:spacing w:val="0"/>
          <w:position w:val="0"/>
          <w:sz w:val="24"/>
          <w:szCs w:val="24"/>
        </w:rPr>
        <w:t xml:space="preserve"> (t)，</w:t>
      </w:r>
      <w:r>
        <w:rPr>
          <w:rFonts w:hint="eastAsia" w:ascii="宋体" w:hAnsi="宋体" w:eastAsia="宋体" w:cs="宋体"/>
          <w:color w:val="000000"/>
          <w:spacing w:val="0"/>
          <w:position w:val="0"/>
          <w:sz w:val="24"/>
          <w:szCs w:val="24"/>
          <w:lang w:val="en-US" w:eastAsia="zh-CN"/>
        </w:rPr>
        <w:t>即由标幺值=实际值/基准值可得</w:t>
      </w:r>
      <w:r>
        <w:rPr>
          <w:rFonts w:hint="eastAsia" w:ascii="宋体" w:hAnsi="宋体" w:eastAsia="宋体" w:cs="宋体"/>
          <w:color w:val="000000"/>
          <w:spacing w:val="0"/>
          <w:position w:val="0"/>
          <w:sz w:val="24"/>
          <w:szCs w:val="24"/>
        </w:rPr>
        <w:t>实际可用出力为：</w:t>
      </w:r>
      <w:r>
        <w:rPr>
          <w:rFonts w:hint="eastAsia" w:ascii="宋体" w:hAnsi="宋体" w:eastAsia="宋体" w:cs="宋体"/>
          <w:color w:val="000000"/>
          <w:spacing w:val="0"/>
          <w:position w:val="0"/>
          <w:sz w:val="24"/>
          <w:szCs w:val="24"/>
          <w:lang w:val="en-US" w:eastAsia="zh-CN"/>
        </w:rPr>
        <w:t xml:space="preserve">        </w:t>
      </w:r>
    </w:p>
    <w:p w14:paraId="199E7300">
      <w:pPr>
        <w:pStyle w:val="11"/>
        <w:keepNext w:val="0"/>
        <w:keepLines w:val="0"/>
        <w:widowControl/>
        <w:numPr>
          <w:ilvl w:val="0"/>
          <w:numId w:val="0"/>
        </w:numPr>
        <w:suppressLineNumbers w:val="0"/>
        <w:spacing w:line="240" w:lineRule="auto"/>
        <w:ind w:left="500" w:leftChars="0" w:right="0" w:rightChars="0"/>
        <w:jc w:val="left"/>
        <w:textAlignment w:val="center"/>
        <w:rPr>
          <w:rFonts w:hint="default" w:eastAsia="宋体"/>
          <w:lang w:val="en-US" w:eastAsia="zh-CN"/>
        </w:rPr>
      </w:pPr>
      <w:r>
        <w:rPr>
          <w:rFonts w:hint="eastAsia" w:ascii="宋体" w:hAnsi="宋体" w:eastAsia="宋体" w:cs="宋体"/>
          <w:color w:val="000000"/>
          <w:spacing w:val="0"/>
          <w:position w:val="0"/>
          <w:sz w:val="24"/>
          <w:szCs w:val="24"/>
        </w:rPr>
        <w:t>W (t)=Wcap</w:t>
      </w:r>
      <w:r>
        <w:rPr>
          <w:rFonts w:hint="eastAsia" w:ascii="宋体" w:hAnsi="宋体" w:eastAsia="宋体" w:cs="宋体"/>
          <w:color w:val="000000"/>
          <w:spacing w:val="0"/>
          <w:position w:val="0"/>
          <w:sz w:val="24"/>
          <w:szCs w:val="24"/>
          <w:lang w:val="en-US" w:eastAsia="zh-CN"/>
        </w:rPr>
        <w:t>_wind</w:t>
      </w:r>
      <w:r>
        <w:rPr>
          <w:rFonts w:hint="eastAsia" w:ascii="宋体" w:hAnsi="宋体" w:eastAsia="宋体" w:cs="宋体"/>
          <w:color w:val="000000"/>
          <w:spacing w:val="0"/>
          <w:position w:val="0"/>
          <w:sz w:val="24"/>
          <w:szCs w:val="24"/>
        </w:rPr>
        <w:t xml:space="preserve"> (p)×w</w:t>
      </w:r>
      <w:r>
        <w:rPr>
          <w:rFonts w:hint="eastAsia" w:ascii="宋体" w:hAnsi="宋体" w:eastAsia="宋体" w:cs="宋体"/>
          <w:color w:val="000000"/>
          <w:spacing w:val="0"/>
          <w:position w:val="0"/>
          <w:sz w:val="24"/>
          <w:szCs w:val="24"/>
          <w:vertAlign w:val="subscript"/>
        </w:rPr>
        <w:t>pu</w:t>
      </w:r>
      <w:r>
        <w:rPr>
          <w:rFonts w:hint="eastAsia" w:ascii="宋体" w:hAnsi="宋体" w:eastAsia="宋体" w:cs="宋体"/>
          <w:color w:val="000000"/>
          <w:spacing w:val="0"/>
          <w:position w:val="0"/>
          <w:sz w:val="24"/>
          <w:szCs w:val="24"/>
        </w:rPr>
        <w:t xml:space="preserve"> (t)（kW）</w:t>
      </w:r>
    </w:p>
    <w:p w14:paraId="3F66632B">
      <w:pPr>
        <w:pStyle w:val="11"/>
        <w:keepNext w:val="0"/>
        <w:keepLines w:val="0"/>
        <w:widowControl/>
        <w:suppressLineNumbers w:val="0"/>
        <w:spacing w:line="240" w:lineRule="auto"/>
        <w:ind w:left="0" w:firstLine="480" w:firstLineChars="200"/>
        <w:jc w:val="left"/>
        <w:textAlignment w:val="center"/>
        <w:rPr>
          <w:rFonts w:hint="eastAsia" w:ascii="宋体" w:hAnsi="宋体" w:eastAsia="宋体" w:cs="宋体"/>
          <w:color w:val="000000"/>
          <w:spacing w:val="0"/>
          <w:kern w:val="0"/>
          <w:position w:val="0"/>
          <w:sz w:val="24"/>
          <w:szCs w:val="24"/>
          <w:lang w:val="en-US" w:eastAsia="zh-CN" w:bidi="ar"/>
        </w:rPr>
      </w:pPr>
      <w:r>
        <w:rPr>
          <w:rFonts w:hint="eastAsia" w:ascii="宋体" w:hAnsi="宋体" w:eastAsia="宋体" w:cs="宋体"/>
          <w:color w:val="000000"/>
          <w:spacing w:val="0"/>
          <w:position w:val="0"/>
          <w:sz w:val="24"/>
          <w:szCs w:val="24"/>
        </w:rPr>
        <w:t>V (t)=Vcap</w:t>
      </w:r>
      <w:r>
        <w:rPr>
          <w:rFonts w:hint="eastAsia" w:ascii="宋体" w:hAnsi="宋体" w:eastAsia="宋体" w:cs="宋体"/>
          <w:color w:val="000000"/>
          <w:spacing w:val="0"/>
          <w:position w:val="0"/>
          <w:sz w:val="24"/>
          <w:szCs w:val="24"/>
          <w:lang w:val="en-US" w:eastAsia="zh-CN"/>
        </w:rPr>
        <w:t>_pv</w:t>
      </w:r>
      <w:r>
        <w:rPr>
          <w:rFonts w:hint="eastAsia" w:ascii="宋体" w:hAnsi="宋体" w:eastAsia="宋体" w:cs="宋体"/>
          <w:color w:val="000000"/>
          <w:spacing w:val="0"/>
          <w:position w:val="0"/>
          <w:sz w:val="24"/>
          <w:szCs w:val="24"/>
        </w:rPr>
        <w:t xml:space="preserve"> (p)×v</w:t>
      </w:r>
      <w:r>
        <w:rPr>
          <w:rFonts w:hint="eastAsia" w:ascii="宋体" w:hAnsi="宋体" w:eastAsia="宋体" w:cs="宋体"/>
          <w:color w:val="000000"/>
          <w:spacing w:val="0"/>
          <w:position w:val="0"/>
          <w:sz w:val="24"/>
          <w:szCs w:val="24"/>
          <w:vertAlign w:val="subscript"/>
        </w:rPr>
        <w:t>pu</w:t>
      </w:r>
      <w:r>
        <w:rPr>
          <w:rFonts w:hint="eastAsia" w:ascii="宋体" w:hAnsi="宋体" w:eastAsia="宋体" w:cs="宋体"/>
          <w:color w:val="000000"/>
          <w:spacing w:val="0"/>
          <w:position w:val="0"/>
          <w:sz w:val="24"/>
          <w:szCs w:val="24"/>
        </w:rPr>
        <w:t xml:space="preserve"> (t)（kW）</w:t>
      </w:r>
      <w:r>
        <w:rPr>
          <w:rFonts w:hint="eastAsia" w:ascii="宋体" w:hAnsi="宋体" w:eastAsia="宋体" w:cs="宋体"/>
          <w:color w:val="000000"/>
          <w:spacing w:val="0"/>
          <w:kern w:val="0"/>
          <w:position w:val="0"/>
          <w:sz w:val="24"/>
          <w:szCs w:val="24"/>
          <w:lang w:val="en-US" w:eastAsia="zh-CN" w:bidi="ar"/>
        </w:rPr>
        <w:t>其中t =0,1,…,23。</w:t>
      </w:r>
    </w:p>
    <w:p w14:paraId="23F71A09">
      <w:pPr>
        <w:keepNext w:val="0"/>
        <w:keepLines w:val="0"/>
        <w:widowControl/>
        <w:suppressLineNumbers w:val="0"/>
        <w:jc w:val="left"/>
      </w:pPr>
      <w:r>
        <w:rPr>
          <w:rFonts w:hint="eastAsia" w:ascii="宋体" w:hAnsi="宋体" w:eastAsia="宋体" w:cs="宋体"/>
          <w:color w:val="000000"/>
          <w:spacing w:val="0"/>
          <w:kern w:val="0"/>
          <w:position w:val="0"/>
          <w:sz w:val="24"/>
          <w:szCs w:val="24"/>
          <w:lang w:val="en-US" w:eastAsia="zh-CN" w:bidi="ar"/>
        </w:rPr>
        <w:t>三园区的具体取值为：A园区Wcap =0、Vcap =750 kW；B 园区Wcap =1000 kW、Vcap =0；C园区Wcap =500 kW、Vcap =600 kW。</w:t>
      </w:r>
      <w:r>
        <w:rPr>
          <w:rFonts w:ascii="宋体" w:hAnsi="宋体" w:eastAsia="宋体" w:cs="宋体"/>
          <w:kern w:val="0"/>
          <w:sz w:val="24"/>
          <w:szCs w:val="24"/>
          <w:lang w:val="en-US" w:eastAsia="zh-CN" w:bidi="ar"/>
        </w:rPr>
        <w:t xml:space="preserve"> </w:t>
      </w:r>
    </w:p>
    <w:p w14:paraId="73953978">
      <w:pPr>
        <w:ind w:firstLine="420"/>
        <w:rPr>
          <w:rFonts w:hint="eastAsia" w:ascii="宋体" w:hAnsi="宋体" w:eastAsia="宋体" w:cs="宋体"/>
          <w:sz w:val="24"/>
          <w:szCs w:val="24"/>
          <w:lang w:val="en-US" w:eastAsia="zh-CN"/>
        </w:rPr>
      </w:pPr>
      <w:r>
        <w:rPr>
          <w:rFonts w:hint="eastAsia" w:ascii="宋体" w:hAnsi="宋体" w:eastAsia="宋体" w:cs="宋体"/>
          <w:sz w:val="21"/>
          <w:szCs w:val="21"/>
          <w:lang w:val="en-US" w:eastAsia="zh-CN"/>
        </w:rPr>
        <w:t xml:space="preserve">2 </w:t>
      </w:r>
      <w:r>
        <w:rPr>
          <w:rFonts w:hint="eastAsia" w:ascii="宋体" w:hAnsi="宋体" w:eastAsia="宋体" w:cs="宋体"/>
          <w:sz w:val="24"/>
          <w:szCs w:val="24"/>
          <w:lang w:val="en-US" w:eastAsia="zh-CN"/>
        </w:rPr>
        <w:t>储能模型</w:t>
      </w:r>
    </w:p>
    <w:p w14:paraId="47D853B9">
      <w:pPr>
        <w:ind w:firstLine="720" w:firstLineChars="3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SOC（剩余电量占额定电量的比例）充/放电模型</w:t>
      </w:r>
    </w:p>
    <w:p w14:paraId="117112E0">
      <w:pPr>
        <w:ind w:firstLine="720" w:firstLineChars="300"/>
        <w:rPr>
          <w:rFonts w:hint="eastAsia" w:eastAsia="宋体"/>
          <w:lang w:eastAsia="zh-CN"/>
        </w:rPr>
      </w:pPr>
      <w:r>
        <w:rPr>
          <w:rFonts w:hint="eastAsia" w:ascii="宋体" w:hAnsi="宋体" w:eastAsia="宋体" w:cs="宋体"/>
          <w:color w:val="000000"/>
          <w:spacing w:val="0"/>
          <w:position w:val="0"/>
          <w:sz w:val="24"/>
          <w:szCs w:val="24"/>
        </w:rPr>
        <w:t>储能在</w:t>
      </w:r>
      <w:r>
        <w:rPr>
          <w:rFonts w:hint="eastAsia" w:ascii="宋体" w:hAnsi="宋体" w:eastAsia="宋体" w:cs="宋体"/>
          <w:color w:val="000000"/>
          <w:spacing w:val="0"/>
          <w:position w:val="0"/>
          <w:sz w:val="24"/>
          <w:szCs w:val="24"/>
          <w:lang w:val="en-US" w:eastAsia="zh-CN"/>
        </w:rPr>
        <w:t>某一时刻</w:t>
      </w:r>
      <w:r>
        <w:rPr>
          <w:rFonts w:hint="eastAsia" w:ascii="宋体" w:hAnsi="宋体" w:eastAsia="宋体" w:cs="宋体"/>
          <w:color w:val="000000"/>
          <w:spacing w:val="0"/>
          <w:position w:val="0"/>
          <w:sz w:val="24"/>
          <w:szCs w:val="24"/>
        </w:rPr>
        <w:t>的</w:t>
      </w:r>
      <w:r>
        <w:rPr>
          <w:rFonts w:hint="eastAsia" w:ascii="宋体" w:hAnsi="宋体" w:eastAsia="宋体" w:cs="宋体"/>
          <w:color w:val="000000"/>
          <w:spacing w:val="0"/>
          <w:position w:val="0"/>
          <w:sz w:val="24"/>
          <w:szCs w:val="24"/>
          <w:lang w:val="en-US" w:eastAsia="zh-CN"/>
        </w:rPr>
        <w:t>储存</w:t>
      </w:r>
      <w:r>
        <w:rPr>
          <w:rFonts w:hint="eastAsia" w:ascii="宋体" w:hAnsi="宋体" w:eastAsia="宋体" w:cs="宋体"/>
          <w:color w:val="000000"/>
          <w:spacing w:val="0"/>
          <w:position w:val="0"/>
          <w:sz w:val="24"/>
          <w:szCs w:val="24"/>
        </w:rPr>
        <w:t>量</w:t>
      </w:r>
      <w:r>
        <w:rPr>
          <w:rFonts w:hint="eastAsia" w:ascii="宋体" w:hAnsi="宋体" w:eastAsia="宋体" w:cs="宋体"/>
          <w:color w:val="000000"/>
          <w:spacing w:val="0"/>
          <w:position w:val="0"/>
          <w:sz w:val="24"/>
          <w:szCs w:val="24"/>
          <w:lang w:val="en-US" w:eastAsia="zh-CN"/>
        </w:rPr>
        <w:t>=</w:t>
      </w:r>
      <w:r>
        <w:rPr>
          <w:rFonts w:hint="eastAsia" w:ascii="宋体" w:hAnsi="宋体" w:eastAsia="宋体" w:cs="宋体"/>
          <w:color w:val="000000"/>
          <w:spacing w:val="0"/>
          <w:position w:val="0"/>
          <w:sz w:val="24"/>
          <w:szCs w:val="24"/>
        </w:rPr>
        <w:t>上一时段末存量</w:t>
      </w:r>
      <w:r>
        <w:rPr>
          <w:rFonts w:hint="eastAsia" w:ascii="宋体" w:hAnsi="宋体" w:eastAsia="宋体" w:cs="宋体"/>
          <w:color w:val="000000"/>
          <w:spacing w:val="0"/>
          <w:position w:val="0"/>
          <w:sz w:val="24"/>
          <w:szCs w:val="24"/>
          <w:lang w:val="en-US" w:eastAsia="zh-CN"/>
        </w:rPr>
        <w:t>+</w:t>
      </w:r>
      <w:r>
        <w:rPr>
          <w:rFonts w:hint="eastAsia" w:ascii="宋体" w:hAnsi="宋体" w:eastAsia="宋体" w:cs="宋体"/>
          <w:color w:val="000000"/>
          <w:spacing w:val="0"/>
          <w:position w:val="0"/>
          <w:sz w:val="24"/>
          <w:szCs w:val="24"/>
        </w:rPr>
        <w:t>净充入电量</w:t>
      </w:r>
      <w:r>
        <w:rPr>
          <w:rFonts w:hint="eastAsia" w:ascii="宋体" w:hAnsi="宋体" w:eastAsia="宋体" w:cs="宋体"/>
          <w:color w:val="000000"/>
          <w:spacing w:val="0"/>
          <w:position w:val="0"/>
          <w:sz w:val="24"/>
          <w:szCs w:val="24"/>
          <w:lang w:eastAsia="zh-CN"/>
        </w:rPr>
        <w:t>：</w:t>
      </w:r>
    </w:p>
    <w:p w14:paraId="48FDC33C">
      <w:pPr>
        <w:pStyle w:val="11"/>
        <w:keepNext w:val="0"/>
        <w:keepLines w:val="0"/>
        <w:widowControl/>
        <w:suppressLineNumbers w:val="0"/>
        <w:spacing w:line="240" w:lineRule="auto"/>
        <w:ind w:left="0" w:firstLine="0"/>
        <w:jc w:val="left"/>
        <w:textAlignment w:val="center"/>
        <w:rPr>
          <w:rFonts w:ascii="Courier New" w:hAnsi="Courier New" w:cs="Courier New"/>
          <w:color w:val="000000"/>
          <w:spacing w:val="0"/>
          <w:position w:val="0"/>
          <w:sz w:val="24"/>
          <w:szCs w:val="24"/>
        </w:rPr>
      </w:pPr>
      <w:r>
        <w:rPr>
          <w:rFonts w:ascii="Courier New" w:hAnsi="Courier New" w:cs="Courier New"/>
          <w:color w:val="000000"/>
          <w:spacing w:val="0"/>
          <w:position w:val="0"/>
          <w:sz w:val="24"/>
          <w:szCs w:val="24"/>
        </w:rPr>
        <w:t xml:space="preserve">E(t) = E(t-1) + </w:t>
      </w:r>
      <w:r>
        <w:rPr>
          <w:rFonts w:hint="eastAsia" w:ascii="Courier New" w:hAnsi="Courier New" w:cs="Courier New"/>
          <w:color w:val="000000"/>
          <w:spacing w:val="0"/>
          <w:position w:val="0"/>
          <w:sz w:val="24"/>
          <w:szCs w:val="24"/>
          <w:lang w:val="en-US" w:eastAsia="zh-CN"/>
        </w:rPr>
        <w:t>[</w:t>
      </w:r>
      <w:r>
        <w:rPr>
          <w:rFonts w:ascii="Courier New" w:hAnsi="Courier New" w:cs="Courier New"/>
          <w:color w:val="000000"/>
          <w:spacing w:val="0"/>
          <w:position w:val="0"/>
          <w:sz w:val="24"/>
          <w:szCs w:val="24"/>
        </w:rPr>
        <w:t>η</w:t>
      </w:r>
      <w:r>
        <w:rPr>
          <w:rFonts w:ascii="Courier New" w:hAnsi="Courier New" w:cs="Courier New"/>
          <w:color w:val="000000"/>
          <w:spacing w:val="0"/>
          <w:position w:val="0"/>
          <w:sz w:val="24"/>
          <w:szCs w:val="24"/>
          <w:vertAlign w:val="subscript"/>
        </w:rPr>
        <w:t>c</w:t>
      </w:r>
      <w:r>
        <w:rPr>
          <w:rFonts w:ascii="Courier New" w:hAnsi="Courier New" w:cs="Courier New"/>
          <w:color w:val="000000"/>
          <w:spacing w:val="0"/>
          <w:position w:val="0"/>
          <w:sz w:val="24"/>
          <w:szCs w:val="24"/>
        </w:rPr>
        <w:t xml:space="preserve"> × </w:t>
      </w:r>
      <w:r>
        <w:rPr>
          <w:rFonts w:hint="eastAsia" w:ascii="Courier New" w:hAnsi="Courier New" w:cs="Courier New"/>
          <w:color w:val="000000"/>
          <w:spacing w:val="0"/>
          <w:position w:val="0"/>
          <w:sz w:val="24"/>
          <w:szCs w:val="24"/>
          <w:lang w:val="en-US" w:eastAsia="zh-CN"/>
        </w:rPr>
        <w:t>P</w:t>
      </w:r>
      <w:r>
        <w:rPr>
          <w:rFonts w:ascii="Courier New" w:hAnsi="Courier New" w:cs="Courier New"/>
          <w:color w:val="000000"/>
          <w:spacing w:val="0"/>
          <w:position w:val="0"/>
          <w:sz w:val="24"/>
          <w:szCs w:val="24"/>
          <w:vertAlign w:val="subscript"/>
        </w:rPr>
        <w:t xml:space="preserve">ch </w:t>
      </w:r>
      <w:r>
        <w:rPr>
          <w:rFonts w:ascii="Courier New" w:hAnsi="Courier New" w:cs="Courier New"/>
          <w:color w:val="000000"/>
          <w:spacing w:val="0"/>
          <w:position w:val="0"/>
          <w:sz w:val="24"/>
          <w:szCs w:val="24"/>
        </w:rPr>
        <w:t xml:space="preserve">(t) − </w:t>
      </w:r>
      <w:r>
        <w:rPr>
          <w:rFonts w:hint="eastAsia" w:ascii="Courier New" w:hAnsi="Courier New" w:cs="Courier New"/>
          <w:color w:val="000000"/>
          <w:spacing w:val="0"/>
          <w:position w:val="0"/>
          <w:sz w:val="24"/>
          <w:szCs w:val="24"/>
          <w:lang w:val="en-US" w:eastAsia="zh-CN"/>
        </w:rPr>
        <w:t>P</w:t>
      </w:r>
      <w:r>
        <w:rPr>
          <w:rFonts w:ascii="Courier New" w:hAnsi="Courier New" w:cs="Courier New"/>
          <w:color w:val="000000"/>
          <w:spacing w:val="0"/>
          <w:position w:val="0"/>
          <w:sz w:val="24"/>
          <w:szCs w:val="24"/>
          <w:vertAlign w:val="subscript"/>
        </w:rPr>
        <w:t>dis</w:t>
      </w:r>
      <w:r>
        <w:rPr>
          <w:rFonts w:ascii="Courier New" w:hAnsi="Courier New" w:cs="Courier New"/>
          <w:color w:val="000000"/>
          <w:spacing w:val="0"/>
          <w:position w:val="0"/>
          <w:sz w:val="24"/>
          <w:szCs w:val="24"/>
        </w:rPr>
        <w:t xml:space="preserve"> (t) / η</w:t>
      </w:r>
      <w:r>
        <w:rPr>
          <w:rFonts w:ascii="Courier New" w:hAnsi="Courier New" w:cs="Courier New"/>
          <w:color w:val="000000"/>
          <w:spacing w:val="0"/>
          <w:position w:val="0"/>
          <w:sz w:val="24"/>
          <w:szCs w:val="24"/>
          <w:vertAlign w:val="subscript"/>
        </w:rPr>
        <w:t>d</w:t>
      </w:r>
      <w:r>
        <w:rPr>
          <w:rFonts w:hint="eastAsia" w:ascii="Courier New" w:hAnsi="Courier New" w:cs="Courier New"/>
          <w:color w:val="000000"/>
          <w:spacing w:val="0"/>
          <w:position w:val="0"/>
          <w:sz w:val="24"/>
          <w:szCs w:val="24"/>
          <w:vertAlign w:val="baseline"/>
          <w:lang w:val="en-US" w:eastAsia="zh-CN"/>
        </w:rPr>
        <w:t>]</w:t>
      </w:r>
      <w:r>
        <w:rPr>
          <w:rFonts w:ascii="Courier New" w:hAnsi="Courier New" w:cs="Courier New"/>
          <w:color w:val="000000"/>
          <w:spacing w:val="0"/>
          <w:position w:val="0"/>
          <w:sz w:val="24"/>
          <w:szCs w:val="24"/>
        </w:rPr>
        <w:t xml:space="preserve"> × Δt</w:t>
      </w:r>
    </w:p>
    <w:p w14:paraId="187BAE39">
      <w:pPr>
        <w:pStyle w:val="11"/>
        <w:keepNext w:val="0"/>
        <w:keepLines w:val="0"/>
        <w:widowControl/>
        <w:suppressLineNumbers w:val="0"/>
        <w:spacing w:line="240" w:lineRule="auto"/>
        <w:ind w:left="0" w:firstLine="0"/>
        <w:jc w:val="left"/>
        <w:textAlignment w:val="center"/>
        <w:rPr>
          <w:rFonts w:hint="default" w:ascii="Courier New" w:hAnsi="Courier New" w:cs="Courier New" w:eastAsiaTheme="minorEastAsia"/>
          <w:color w:val="000000"/>
          <w:spacing w:val="0"/>
          <w:position w:val="0"/>
          <w:sz w:val="24"/>
          <w:szCs w:val="24"/>
          <w:lang w:val="en-US" w:eastAsia="zh-CN"/>
        </w:rPr>
      </w:pPr>
      <w:r>
        <w:rPr>
          <w:rFonts w:hint="eastAsia" w:ascii="Courier New" w:hAnsi="Courier New" w:cs="Courier New"/>
          <w:color w:val="000000"/>
          <w:spacing w:val="0"/>
          <w:position w:val="0"/>
          <w:sz w:val="24"/>
          <w:szCs w:val="24"/>
          <w:lang w:val="en-US" w:eastAsia="zh-CN"/>
        </w:rPr>
        <w:t>SOC(t)=E(t)/E(rate)</w:t>
      </w:r>
    </w:p>
    <w:p w14:paraId="39F2CAFF">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color w:val="000000"/>
          <w:spacing w:val="0"/>
          <w:kern w:val="0"/>
          <w:position w:val="0"/>
          <w:sz w:val="24"/>
          <w:szCs w:val="24"/>
          <w:lang w:val="en-US" w:eastAsia="zh-CN" w:bidi="ar"/>
        </w:rPr>
        <w:t>注意：①充入的电量要乘以ηc 才计入存量（充电有损耗）；②从存量中取出的电量是dis(t)/ηd 而非dis(t)（放电同样有损耗，要放出dis(t)的电量，实际需要从存量中消耗更多）</w:t>
      </w:r>
      <w:r>
        <w:rPr>
          <w:rFonts w:ascii="宋体" w:hAnsi="宋体" w:eastAsia="宋体" w:cs="宋体"/>
          <w:kern w:val="0"/>
          <w:sz w:val="24"/>
          <w:szCs w:val="24"/>
          <w:lang w:val="en-US" w:eastAsia="zh-CN" w:bidi="ar"/>
        </w:rPr>
        <w:t xml:space="preserve"> </w:t>
      </w:r>
    </w:p>
    <w:p w14:paraId="156A8E33">
      <w:pPr>
        <w:keepNext w:val="0"/>
        <w:keepLines w:val="0"/>
        <w:widowControl/>
        <w:suppressLineNumbers w:val="0"/>
        <w:ind w:firstLine="48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3日运行成本算式</w:t>
      </w:r>
    </w:p>
    <w:p w14:paraId="6C6B24F1">
      <w:pPr>
        <w:keepNext w:val="0"/>
        <w:keepLines w:val="0"/>
        <w:widowControl/>
        <w:suppressLineNumbers w:val="0"/>
        <w:jc w:val="left"/>
        <w:rPr>
          <w:rFonts w:ascii="宋体" w:hAnsi="宋体" w:eastAsia="宋体" w:cs="宋体"/>
          <w:kern w:val="0"/>
          <w:sz w:val="24"/>
          <w:szCs w:val="24"/>
          <w:lang w:val="en-US" w:eastAsia="zh-CN" w:bidi="ar"/>
        </w:rPr>
      </w:pPr>
      <w:r>
        <w:rPr>
          <w:rFonts w:hint="eastAsia" w:ascii="Courier New" w:hAnsi="Courier New" w:eastAsia="宋体" w:cs="Courier New"/>
          <w:color w:val="000000"/>
          <w:spacing w:val="0"/>
          <w:kern w:val="0"/>
          <w:position w:val="0"/>
          <w:sz w:val="24"/>
          <w:szCs w:val="24"/>
          <w:lang w:val="en-US" w:eastAsia="zh-CN" w:bidi="ar"/>
        </w:rPr>
        <w:t>minC=</w:t>
      </w:r>
      <w:r>
        <w:rPr>
          <w:rFonts w:ascii="Courier New" w:hAnsi="Courier New" w:eastAsia="宋体" w:cs="Courier New"/>
          <w:color w:val="000000"/>
          <w:spacing w:val="0"/>
          <w:kern w:val="0"/>
          <w:position w:val="0"/>
          <w:sz w:val="24"/>
          <w:szCs w:val="24"/>
          <w:lang w:val="en-US" w:eastAsia="zh-CN" w:bidi="ar"/>
        </w:rPr>
        <w:t xml:space="preserve">Σt [ 0.5 × </w:t>
      </w:r>
      <w:r>
        <w:rPr>
          <w:rFonts w:hint="eastAsia" w:ascii="Courier New" w:hAnsi="Courier New" w:eastAsia="宋体" w:cs="Courier New"/>
          <w:color w:val="000000"/>
          <w:spacing w:val="0"/>
          <w:kern w:val="0"/>
          <w:position w:val="0"/>
          <w:sz w:val="24"/>
          <w:szCs w:val="24"/>
          <w:lang w:val="en-US" w:eastAsia="zh-CN" w:bidi="ar"/>
        </w:rPr>
        <w:t>P</w:t>
      </w:r>
      <w:r>
        <w:rPr>
          <w:rFonts w:hint="eastAsia" w:ascii="Courier New" w:hAnsi="Courier New" w:eastAsia="宋体" w:cs="Courier New"/>
          <w:color w:val="000000"/>
          <w:spacing w:val="0"/>
          <w:kern w:val="0"/>
          <w:position w:val="0"/>
          <w:sz w:val="24"/>
          <w:szCs w:val="24"/>
          <w:vertAlign w:val="subscript"/>
          <w:lang w:val="en-US" w:eastAsia="zh-CN" w:bidi="ar"/>
        </w:rPr>
        <w:t>wind,</w:t>
      </w:r>
      <w:r>
        <w:rPr>
          <w:rFonts w:ascii="Courier New" w:hAnsi="Courier New" w:eastAsia="宋体" w:cs="Courier New"/>
          <w:color w:val="000000"/>
          <w:spacing w:val="0"/>
          <w:kern w:val="0"/>
          <w:position w:val="0"/>
          <w:sz w:val="24"/>
          <w:szCs w:val="24"/>
          <w:vertAlign w:val="subscript"/>
          <w:lang w:val="en-US" w:eastAsia="zh-CN" w:bidi="ar"/>
        </w:rPr>
        <w:t>used</w:t>
      </w:r>
      <w:r>
        <w:rPr>
          <w:rFonts w:ascii="Courier New" w:hAnsi="Courier New" w:eastAsia="宋体" w:cs="Courier New"/>
          <w:color w:val="000000"/>
          <w:spacing w:val="0"/>
          <w:kern w:val="0"/>
          <w:position w:val="0"/>
          <w:sz w:val="24"/>
          <w:szCs w:val="24"/>
          <w:lang w:val="en-US" w:eastAsia="zh-CN" w:bidi="ar"/>
        </w:rPr>
        <w:t xml:space="preserve"> (t) + 0.4 × </w:t>
      </w:r>
      <w:r>
        <w:rPr>
          <w:rFonts w:hint="eastAsia" w:ascii="Courier New" w:hAnsi="Courier New" w:eastAsia="宋体" w:cs="Courier New"/>
          <w:color w:val="000000"/>
          <w:spacing w:val="0"/>
          <w:kern w:val="0"/>
          <w:position w:val="0"/>
          <w:sz w:val="24"/>
          <w:szCs w:val="24"/>
          <w:lang w:val="en-US" w:eastAsia="zh-CN" w:bidi="ar"/>
        </w:rPr>
        <w:t>P</w:t>
      </w:r>
      <w:r>
        <w:rPr>
          <w:rFonts w:hint="eastAsia" w:ascii="Courier New" w:hAnsi="Courier New" w:eastAsia="宋体" w:cs="Courier New"/>
          <w:color w:val="000000"/>
          <w:spacing w:val="0"/>
          <w:kern w:val="0"/>
          <w:position w:val="0"/>
          <w:sz w:val="24"/>
          <w:szCs w:val="24"/>
          <w:vertAlign w:val="subscript"/>
          <w:lang w:val="en-US" w:eastAsia="zh-CN" w:bidi="ar"/>
        </w:rPr>
        <w:t>pv,</w:t>
      </w:r>
      <w:r>
        <w:rPr>
          <w:rFonts w:ascii="Courier New" w:hAnsi="Courier New" w:eastAsia="宋体" w:cs="Courier New"/>
          <w:color w:val="000000"/>
          <w:spacing w:val="0"/>
          <w:kern w:val="0"/>
          <w:position w:val="0"/>
          <w:sz w:val="24"/>
          <w:szCs w:val="24"/>
          <w:vertAlign w:val="subscript"/>
          <w:lang w:val="en-US" w:eastAsia="zh-CN" w:bidi="ar"/>
        </w:rPr>
        <w:t>used</w:t>
      </w:r>
      <w:r>
        <w:rPr>
          <w:rFonts w:ascii="Courier New" w:hAnsi="Courier New" w:eastAsia="宋体" w:cs="Courier New"/>
          <w:color w:val="000000"/>
          <w:spacing w:val="0"/>
          <w:kern w:val="0"/>
          <w:position w:val="0"/>
          <w:sz w:val="24"/>
          <w:szCs w:val="24"/>
          <w:lang w:val="en-US" w:eastAsia="zh-CN" w:bidi="ar"/>
        </w:rPr>
        <w:t xml:space="preserve"> (t) + 1.0×</w:t>
      </w:r>
      <w:r>
        <w:rPr>
          <w:rFonts w:hint="eastAsia" w:ascii="Courier New" w:hAnsi="Courier New" w:eastAsia="宋体" w:cs="Courier New"/>
          <w:color w:val="000000"/>
          <w:spacing w:val="0"/>
          <w:kern w:val="0"/>
          <w:position w:val="0"/>
          <w:sz w:val="24"/>
          <w:szCs w:val="24"/>
          <w:lang w:val="en-US" w:eastAsia="zh-CN" w:bidi="ar"/>
        </w:rPr>
        <w:t>P</w:t>
      </w:r>
      <w:r>
        <w:rPr>
          <w:rFonts w:hint="eastAsia" w:ascii="Courier New" w:hAnsi="Courier New" w:eastAsia="宋体" w:cs="Courier New"/>
          <w:color w:val="000000"/>
          <w:spacing w:val="0"/>
          <w:kern w:val="0"/>
          <w:position w:val="0"/>
          <w:sz w:val="24"/>
          <w:szCs w:val="24"/>
          <w:vertAlign w:val="subscript"/>
          <w:lang w:val="en-US" w:eastAsia="zh-CN" w:bidi="ar"/>
        </w:rPr>
        <w:t>grid</w:t>
      </w:r>
      <w:r>
        <w:rPr>
          <w:rFonts w:hint="default" w:ascii="Courier New" w:hAnsi="Courier New" w:eastAsia="宋体" w:cs="Courier New"/>
          <w:color w:val="000000"/>
          <w:spacing w:val="0"/>
          <w:kern w:val="0"/>
          <w:position w:val="0"/>
          <w:sz w:val="24"/>
          <w:szCs w:val="24"/>
          <w:lang w:val="en-US" w:eastAsia="zh-CN" w:bidi="ar"/>
        </w:rPr>
        <w:t>(t) ]Δt</w:t>
      </w:r>
      <w:r>
        <w:rPr>
          <w:rFonts w:ascii="宋体" w:hAnsi="宋体" w:eastAsia="宋体" w:cs="宋体"/>
          <w:kern w:val="0"/>
          <w:sz w:val="24"/>
          <w:szCs w:val="24"/>
          <w:lang w:val="en-US" w:eastAsia="zh-CN" w:bidi="ar"/>
        </w:rPr>
        <w:t xml:space="preserve"> </w:t>
      </w:r>
    </w:p>
    <w:p w14:paraId="32D2CCAA">
      <w:pPr>
        <w:keepNext w:val="0"/>
        <w:keepLines w:val="0"/>
        <w:widowControl/>
        <w:suppressLineNumbers w:val="0"/>
        <w:ind w:firstLine="48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4相较于A，B两区情况更为特殊的C区</w:t>
      </w:r>
    </w:p>
    <w:p w14:paraId="400B16D4">
      <w:pPr>
        <w:keepNext w:val="0"/>
        <w:keepLines w:val="0"/>
        <w:widowControl/>
        <w:suppressLineNumbers w:val="0"/>
        <w:ind w:firstLine="480"/>
        <w:jc w:val="left"/>
        <w:rPr>
          <w:rFonts w:ascii="宋体" w:hAnsi="宋体" w:eastAsia="宋体" w:cs="宋体"/>
          <w:kern w:val="0"/>
          <w:sz w:val="24"/>
          <w:szCs w:val="24"/>
          <w:lang w:val="en-US" w:eastAsia="zh-CN" w:bidi="ar"/>
        </w:rPr>
      </w:pPr>
      <w:r>
        <w:rPr>
          <w:rFonts w:hint="eastAsia" w:ascii="宋体" w:hAnsi="宋体" w:eastAsia="宋体" w:cs="宋体"/>
          <w:color w:val="000000"/>
          <w:spacing w:val="0"/>
          <w:kern w:val="0"/>
          <w:position w:val="0"/>
          <w:sz w:val="24"/>
          <w:szCs w:val="24"/>
          <w:lang w:val="en-US" w:eastAsia="zh-CN" w:bidi="ar"/>
        </w:rPr>
        <w:t>对于同时拥有风电与光伏的园区C，当两者合计出力超过负荷时，必须决定弃哪一种。由于光伏使用成本（0 .4 元/kWh）低于风电（0 .5 元/kWh），经济上合理的做法是</w:t>
      </w:r>
      <w:r>
        <w:rPr>
          <w:rFonts w:hint="eastAsia" w:ascii="宋体" w:hAnsi="宋体" w:eastAsia="宋体" w:cs="宋体"/>
          <w:b/>
          <w:bCs/>
          <w:color w:val="000000"/>
          <w:spacing w:val="0"/>
          <w:kern w:val="0"/>
          <w:position w:val="0"/>
          <w:sz w:val="24"/>
          <w:szCs w:val="24"/>
          <w:lang w:val="en-US" w:eastAsia="zh-CN" w:bidi="ar"/>
        </w:rPr>
        <w:t>优先消纳光伏、弃电从风电开始</w:t>
      </w:r>
      <w:r>
        <w:rPr>
          <w:rFonts w:hint="eastAsia" w:ascii="宋体" w:hAnsi="宋体" w:eastAsia="宋体" w:cs="宋体"/>
          <w:color w:val="000000"/>
          <w:spacing w:val="0"/>
          <w:kern w:val="0"/>
          <w:position w:val="0"/>
          <w:sz w:val="24"/>
          <w:szCs w:val="24"/>
          <w:lang w:val="en-US" w:eastAsia="zh-CN" w:bidi="ar"/>
        </w:rPr>
        <w:t>。</w:t>
      </w:r>
      <w:r>
        <w:rPr>
          <w:rFonts w:ascii="宋体" w:hAnsi="宋体" w:eastAsia="宋体" w:cs="宋体"/>
          <w:kern w:val="0"/>
          <w:sz w:val="24"/>
          <w:szCs w:val="24"/>
          <w:lang w:val="en-US" w:eastAsia="zh-CN" w:bidi="ar"/>
        </w:rPr>
        <w:t xml:space="preserve"> </w:t>
      </w:r>
    </w:p>
    <w:p w14:paraId="6718AB18">
      <w:pPr>
        <w:pStyle w:val="6"/>
        <w:bidi w:val="0"/>
        <w:rPr>
          <w:rFonts w:hint="eastAsia"/>
          <w:lang w:val="en-US" w:eastAsia="zh-CN"/>
        </w:rPr>
      </w:pPr>
      <w:r>
        <w:rPr>
          <w:rFonts w:hint="eastAsia"/>
          <w:lang w:val="en-US" w:eastAsia="zh-CN"/>
        </w:rPr>
        <w:t>2.2约束条件</w:t>
      </w:r>
    </w:p>
    <w:p w14:paraId="37A06159">
      <w:pPr>
        <w:pStyle w:val="7"/>
        <w:bidi w:val="0"/>
      </w:pPr>
      <w:r>
        <w:rPr>
          <w:rFonts w:hint="eastAsia"/>
          <w:lang w:val="en-US" w:eastAsia="zh-CN"/>
        </w:rPr>
        <w:t>1</w:t>
      </w:r>
      <w:r>
        <w:t>功率平衡约束（核心）</w:t>
      </w:r>
    </w:p>
    <w:p w14:paraId="0F58C73E">
      <w:pPr>
        <w:spacing w:before="120" w:after="120" w:line="288" w:lineRule="auto"/>
        <w:ind w:left="0"/>
        <w:jc w:val="left"/>
        <w:rPr>
          <w:rFonts w:hint="eastAsia" w:ascii="Arial" w:hAnsi="Arial" w:eastAsia="等线" w:cs="Arial"/>
          <w:sz w:val="22"/>
          <w:lang w:val="en-US" w:eastAsia="zh-CN"/>
        </w:rPr>
      </w:pPr>
      <w:r>
        <w:rPr>
          <w:rFonts w:hint="eastAsia" w:ascii="Arial" w:hAnsi="Arial" w:eastAsia="等线" w:cs="Arial"/>
          <w:sz w:val="22"/>
          <w:lang w:val="en-US" w:eastAsia="zh-CN"/>
        </w:rPr>
        <w:t>存在储能电池时：</w:t>
      </w:r>
    </w:p>
    <w:p w14:paraId="09BE2DBB">
      <w:pPr>
        <w:spacing w:before="120" w:after="120" w:line="288" w:lineRule="auto"/>
        <w:ind w:left="0"/>
        <w:jc w:val="left"/>
        <w:rPr>
          <w:rFonts w:hint="default" w:ascii="Arial" w:hAnsi="Arial" w:eastAsia="等线" w:cs="Arial"/>
          <w:sz w:val="22"/>
          <w:lang w:val="en-US" w:eastAsia="zh-CN"/>
        </w:rPr>
      </w:pPr>
      <w:r>
        <w:rPr>
          <w:rFonts w:ascii="Arial" w:hAnsi="Arial" w:eastAsia="等线" w:cs="Arial"/>
          <w:sz w:val="22"/>
        </w:rPr>
        <w:t>风电场出力 + 电网功率 + 储能功率</w:t>
      </w:r>
      <w:r>
        <w:rPr>
          <w:rFonts w:hint="eastAsia" w:ascii="Arial" w:hAnsi="Arial" w:eastAsia="等线" w:cs="Arial"/>
          <w:sz w:val="22"/>
          <w:lang w:val="en-US" w:eastAsia="zh-CN"/>
        </w:rPr>
        <w:t>＋光伏出力</w:t>
      </w:r>
      <w:r>
        <w:rPr>
          <w:rFonts w:ascii="Arial" w:hAnsi="Arial" w:eastAsia="等线" w:cs="Arial"/>
          <w:sz w:val="22"/>
        </w:rPr>
        <w:t xml:space="preserve"> </w:t>
      </w:r>
      <w:r>
        <w:rPr>
          <w:rFonts w:hint="eastAsia" w:ascii="Arial" w:hAnsi="Arial" w:eastAsia="等线" w:cs="Arial"/>
          <w:sz w:val="22"/>
          <w:lang w:val="en-US" w:eastAsia="zh-CN"/>
        </w:rPr>
        <w:t>+储能放电</w:t>
      </w:r>
      <w:r>
        <w:rPr>
          <w:rFonts w:ascii="Arial" w:hAnsi="Arial" w:eastAsia="等线" w:cs="Arial"/>
          <w:sz w:val="22"/>
        </w:rPr>
        <w:t>= 负荷功率</w:t>
      </w:r>
      <w:r>
        <w:rPr>
          <w:rFonts w:hint="eastAsia" w:ascii="Arial" w:hAnsi="Arial" w:eastAsia="等线" w:cs="Arial"/>
          <w:sz w:val="22"/>
          <w:lang w:val="en-US" w:eastAsia="zh-CN"/>
        </w:rPr>
        <w:t>+充入用作储能</w:t>
      </w:r>
    </w:p>
    <w:p w14:paraId="364907A0">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无储能时：</w:t>
      </w:r>
    </w:p>
    <w:p w14:paraId="502B50B0">
      <w:pPr>
        <w:spacing w:before="120" w:after="120" w:line="288" w:lineRule="auto"/>
        <w:ind w:left="0"/>
        <w:jc w:val="left"/>
        <w:rPr>
          <w:rFonts w:hint="eastAsia"/>
          <w:sz w:val="21"/>
          <w:szCs w:val="21"/>
          <w:vertAlign w:val="baseline"/>
          <w:lang w:val="en-US" w:eastAsia="zh-CN"/>
        </w:rPr>
      </w:pPr>
      <w:r>
        <w:rPr>
          <w:rFonts w:hint="eastAsia"/>
          <w:sz w:val="21"/>
          <w:szCs w:val="21"/>
          <w:lang w:val="en-US" w:eastAsia="zh-CN"/>
        </w:rPr>
        <w:t xml:space="preserve"> 1.园区电不够时，即需要与电网交互的P</w:t>
      </w:r>
      <w:r>
        <w:rPr>
          <w:rFonts w:hint="eastAsia"/>
          <w:sz w:val="21"/>
          <w:szCs w:val="21"/>
          <w:vertAlign w:val="subscript"/>
          <w:lang w:val="en-US" w:eastAsia="zh-CN"/>
        </w:rPr>
        <w:t>grid</w:t>
      </w:r>
      <w:r>
        <w:rPr>
          <w:rFonts w:hint="eastAsia"/>
          <w:sz w:val="21"/>
          <w:szCs w:val="21"/>
          <w:vertAlign w:val="baseline"/>
          <w:lang w:val="en-US" w:eastAsia="zh-CN"/>
        </w:rPr>
        <w:t>=max(P</w:t>
      </w:r>
      <w:r>
        <w:rPr>
          <w:rFonts w:hint="eastAsia"/>
          <w:sz w:val="21"/>
          <w:szCs w:val="21"/>
          <w:vertAlign w:val="subscript"/>
          <w:lang w:val="en-US" w:eastAsia="zh-CN"/>
        </w:rPr>
        <w:t>load</w:t>
      </w:r>
      <w:r>
        <w:rPr>
          <w:rFonts w:hint="eastAsia"/>
          <w:sz w:val="21"/>
          <w:szCs w:val="21"/>
          <w:vertAlign w:val="baseline"/>
          <w:lang w:val="en-US" w:eastAsia="zh-CN"/>
        </w:rPr>
        <w:t>--P</w:t>
      </w:r>
      <w:r>
        <w:rPr>
          <w:rFonts w:hint="eastAsia"/>
          <w:sz w:val="21"/>
          <w:szCs w:val="21"/>
          <w:vertAlign w:val="subscript"/>
          <w:lang w:val="en-US" w:eastAsia="zh-CN"/>
        </w:rPr>
        <w:t>wind</w:t>
      </w:r>
      <w:r>
        <w:rPr>
          <w:rFonts w:hint="eastAsia"/>
          <w:sz w:val="21"/>
          <w:szCs w:val="21"/>
          <w:vertAlign w:val="baseline"/>
          <w:lang w:val="en-US" w:eastAsia="zh-CN"/>
        </w:rPr>
        <w:t>--P</w:t>
      </w:r>
      <w:r>
        <w:rPr>
          <w:rFonts w:hint="eastAsia"/>
          <w:sz w:val="21"/>
          <w:szCs w:val="21"/>
          <w:vertAlign w:val="subscript"/>
          <w:lang w:val="en-US" w:eastAsia="zh-CN"/>
        </w:rPr>
        <w:t>pv，</w:t>
      </w:r>
      <w:r>
        <w:rPr>
          <w:rFonts w:hint="eastAsia"/>
          <w:sz w:val="21"/>
          <w:szCs w:val="21"/>
          <w:vertAlign w:val="baseline"/>
          <w:lang w:val="en-US" w:eastAsia="zh-CN"/>
        </w:rPr>
        <w:t>0）</w:t>
      </w:r>
    </w:p>
    <w:p w14:paraId="56D3889F">
      <w:pPr>
        <w:pStyle w:val="11"/>
        <w:keepNext w:val="0"/>
        <w:keepLines w:val="0"/>
        <w:widowControl/>
        <w:numPr>
          <w:ilvl w:val="0"/>
          <w:numId w:val="0"/>
        </w:numPr>
        <w:suppressLineNumbers w:val="0"/>
        <w:tabs>
          <w:tab w:val="left" w:pos="808"/>
        </w:tabs>
        <w:ind w:right="0" w:rightChars="0"/>
        <w:rPr>
          <w:rFonts w:hint="eastAsia"/>
          <w:sz w:val="21"/>
          <w:szCs w:val="21"/>
          <w:vertAlign w:val="baseline"/>
          <w:lang w:val="en-US" w:eastAsia="zh-CN"/>
        </w:rPr>
      </w:pPr>
      <w:r>
        <w:rPr>
          <w:rFonts w:hint="eastAsia"/>
          <w:sz w:val="21"/>
          <w:szCs w:val="21"/>
          <w:lang w:val="en-US" w:eastAsia="zh-CN"/>
        </w:rPr>
        <w:t>2.园区电量充足时，即此时舍弃的风光伏弃电P</w:t>
      </w:r>
      <w:r>
        <w:rPr>
          <w:rFonts w:hint="eastAsia"/>
          <w:sz w:val="21"/>
          <w:szCs w:val="21"/>
          <w:vertAlign w:val="subscript"/>
          <w:lang w:val="en-US" w:eastAsia="zh-CN"/>
        </w:rPr>
        <w:t>curtail</w:t>
      </w:r>
      <w:r>
        <w:rPr>
          <w:rFonts w:hint="eastAsia"/>
          <w:sz w:val="21"/>
          <w:szCs w:val="21"/>
          <w:vertAlign w:val="baseline"/>
          <w:lang w:val="en-US" w:eastAsia="zh-CN"/>
        </w:rPr>
        <w:t>=max(P</w:t>
      </w:r>
      <w:r>
        <w:rPr>
          <w:rFonts w:hint="eastAsia"/>
          <w:sz w:val="21"/>
          <w:szCs w:val="21"/>
          <w:vertAlign w:val="subscript"/>
          <w:lang w:val="en-US" w:eastAsia="zh-CN"/>
        </w:rPr>
        <w:t>wind</w:t>
      </w:r>
      <w:r>
        <w:rPr>
          <w:rFonts w:hint="eastAsia"/>
          <w:sz w:val="21"/>
          <w:szCs w:val="21"/>
          <w:vertAlign w:val="baseline"/>
          <w:lang w:val="en-US" w:eastAsia="zh-CN"/>
        </w:rPr>
        <w:t>+P</w:t>
      </w:r>
      <w:r>
        <w:rPr>
          <w:rFonts w:hint="eastAsia"/>
          <w:sz w:val="21"/>
          <w:szCs w:val="21"/>
          <w:vertAlign w:val="subscript"/>
          <w:lang w:val="en-US" w:eastAsia="zh-CN"/>
        </w:rPr>
        <w:t>pv</w:t>
      </w:r>
      <w:r>
        <w:rPr>
          <w:rFonts w:hint="eastAsia"/>
          <w:sz w:val="21"/>
          <w:szCs w:val="21"/>
          <w:vertAlign w:val="baseline"/>
          <w:lang w:val="en-US" w:eastAsia="zh-CN"/>
        </w:rPr>
        <w:t>--P</w:t>
      </w:r>
      <w:r>
        <w:rPr>
          <w:rFonts w:hint="eastAsia"/>
          <w:sz w:val="21"/>
          <w:szCs w:val="21"/>
          <w:vertAlign w:val="subscript"/>
          <w:lang w:val="en-US" w:eastAsia="zh-CN"/>
        </w:rPr>
        <w:t>load</w:t>
      </w:r>
      <w:r>
        <w:rPr>
          <w:rFonts w:hint="eastAsia"/>
          <w:sz w:val="21"/>
          <w:szCs w:val="21"/>
          <w:vertAlign w:val="baseline"/>
          <w:lang w:val="en-US" w:eastAsia="zh-CN"/>
        </w:rPr>
        <w:t>，0）</w:t>
      </w:r>
    </w:p>
    <w:p w14:paraId="762F34A0">
      <w:pPr>
        <w:pStyle w:val="7"/>
        <w:bidi w:val="0"/>
      </w:pPr>
      <w:r>
        <w:rPr>
          <w:rFonts w:hint="eastAsia"/>
          <w:lang w:val="en-US" w:eastAsia="zh-CN"/>
        </w:rPr>
        <w:t>2光伏，</w:t>
      </w:r>
      <w:r>
        <w:t>风电出力约束</w:t>
      </w:r>
    </w:p>
    <w:p w14:paraId="748DA5B5">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无电池储能时，</w:t>
      </w:r>
      <w:r>
        <w:rPr>
          <w:rFonts w:ascii="Arial" w:hAnsi="Arial" w:eastAsia="等线" w:cs="Arial"/>
          <w:sz w:val="22"/>
        </w:rPr>
        <w:t>利用风电</w:t>
      </w:r>
      <w:r>
        <w:rPr>
          <w:rFonts w:hint="eastAsia" w:ascii="Arial" w:hAnsi="Arial" w:eastAsia="等线" w:cs="Arial"/>
          <w:sz w:val="22"/>
          <w:lang w:eastAsia="zh-CN"/>
        </w:rPr>
        <w:t>，</w:t>
      </w:r>
      <w:r>
        <w:rPr>
          <w:rFonts w:hint="eastAsia" w:ascii="Arial" w:hAnsi="Arial" w:eastAsia="等线" w:cs="Arial"/>
          <w:sz w:val="22"/>
          <w:lang w:val="en-US" w:eastAsia="zh-CN"/>
        </w:rPr>
        <w:t>光能</w:t>
      </w:r>
      <w:r>
        <w:rPr>
          <w:rFonts w:ascii="Arial" w:hAnsi="Arial" w:eastAsia="等线" w:cs="Arial"/>
          <w:sz w:val="22"/>
        </w:rPr>
        <w:t>不能超过实时</w:t>
      </w:r>
      <w:r>
        <w:rPr>
          <w:rFonts w:hint="eastAsia" w:ascii="Arial" w:hAnsi="Arial" w:eastAsia="等线" w:cs="Arial"/>
          <w:sz w:val="22"/>
          <w:lang w:val="en-US" w:eastAsia="zh-CN"/>
        </w:rPr>
        <w:t>最大负荷</w:t>
      </w:r>
      <w:r>
        <w:rPr>
          <w:rFonts w:ascii="Arial" w:hAnsi="Arial" w:eastAsia="等线" w:cs="Arial"/>
          <w:sz w:val="22"/>
        </w:rPr>
        <w:t>，超出部分为弃风</w:t>
      </w:r>
      <w:r>
        <w:rPr>
          <w:rFonts w:hint="eastAsia" w:ascii="Arial" w:hAnsi="Arial" w:eastAsia="等线" w:cs="Arial"/>
          <w:sz w:val="22"/>
          <w:lang w:val="en-US" w:eastAsia="zh-CN"/>
        </w:rPr>
        <w:t>光伏电</w:t>
      </w:r>
    </w:p>
    <w:p w14:paraId="7B771475">
      <w:pPr>
        <w:spacing w:before="120" w:after="120" w:line="288" w:lineRule="auto"/>
        <w:ind w:left="0"/>
        <w:jc w:val="left"/>
        <w:rPr>
          <w:rFonts w:hint="eastAsia"/>
          <w:lang w:val="en-US" w:eastAsia="zh-CN"/>
        </w:rPr>
      </w:pPr>
      <w:r>
        <w:rPr>
          <w:rFonts w:hint="eastAsia" w:ascii="Arial" w:hAnsi="Arial" w:eastAsia="等线" w:cs="Arial"/>
          <w:sz w:val="22"/>
          <w:lang w:val="en-US" w:eastAsia="zh-CN"/>
        </w:rPr>
        <w:t>P</w:t>
      </w:r>
      <w:r>
        <w:rPr>
          <w:rFonts w:hint="eastAsia" w:ascii="Arial" w:hAnsi="Arial" w:eastAsia="等线" w:cs="Arial"/>
          <w:sz w:val="22"/>
          <w:vertAlign w:val="subscript"/>
          <w:lang w:val="en-US" w:eastAsia="zh-CN"/>
        </w:rPr>
        <w:t>real,wind,t</w:t>
      </w:r>
      <w:r>
        <w:rPr>
          <w:rFonts w:hint="eastAsia" w:ascii="Arial" w:hAnsi="Arial" w:eastAsia="等线" w:cs="Arial"/>
          <w:sz w:val="22"/>
          <w:vertAlign w:val="baseline"/>
          <w:lang w:val="en-US" w:eastAsia="zh-CN"/>
        </w:rPr>
        <w:t>≤P</w:t>
      </w:r>
      <w:r>
        <w:rPr>
          <w:rFonts w:hint="eastAsia" w:ascii="Arial" w:hAnsi="Arial" w:eastAsia="等线" w:cs="Arial"/>
          <w:sz w:val="22"/>
          <w:vertAlign w:val="subscript"/>
          <w:lang w:val="en-US" w:eastAsia="zh-CN"/>
        </w:rPr>
        <w:t>max,t</w:t>
      </w:r>
    </w:p>
    <w:p w14:paraId="579613B8">
      <w:pPr>
        <w:spacing w:before="120" w:after="120" w:line="288" w:lineRule="auto"/>
        <w:ind w:left="0"/>
        <w:jc w:val="left"/>
        <w:rPr>
          <w:rFonts w:hint="eastAsia"/>
          <w:lang w:val="en-US" w:eastAsia="zh-CN"/>
        </w:rPr>
      </w:pPr>
      <w:r>
        <w:rPr>
          <w:rFonts w:hint="eastAsia" w:ascii="Arial" w:hAnsi="Arial" w:eastAsia="等线" w:cs="Arial"/>
          <w:sz w:val="22"/>
          <w:lang w:val="en-US" w:eastAsia="zh-CN"/>
        </w:rPr>
        <w:t>P</w:t>
      </w:r>
      <w:r>
        <w:rPr>
          <w:rFonts w:hint="eastAsia" w:ascii="Arial" w:hAnsi="Arial" w:eastAsia="等线" w:cs="Arial"/>
          <w:sz w:val="22"/>
          <w:vertAlign w:val="subscript"/>
          <w:lang w:val="en-US" w:eastAsia="zh-CN"/>
        </w:rPr>
        <w:t>real,,power,t</w:t>
      </w:r>
      <w:r>
        <w:rPr>
          <w:rFonts w:hint="eastAsia" w:ascii="Arial" w:hAnsi="Arial" w:eastAsia="等线" w:cs="Arial"/>
          <w:sz w:val="22"/>
          <w:vertAlign w:val="baseline"/>
          <w:lang w:val="en-US" w:eastAsia="zh-CN"/>
        </w:rPr>
        <w:t>≤P</w:t>
      </w:r>
      <w:r>
        <w:rPr>
          <w:rFonts w:hint="eastAsia" w:ascii="Arial" w:hAnsi="Arial" w:eastAsia="等线" w:cs="Arial"/>
          <w:sz w:val="22"/>
          <w:vertAlign w:val="subscript"/>
          <w:lang w:val="en-US" w:eastAsia="zh-CN"/>
        </w:rPr>
        <w:t>max,t</w:t>
      </w:r>
    </w:p>
    <w:p w14:paraId="21ED5C48">
      <w:pPr>
        <w:pStyle w:val="7"/>
        <w:bidi w:val="0"/>
        <w:rPr>
          <w:rFonts w:hint="eastAsia"/>
          <w:lang w:val="en-US" w:eastAsia="zh-CN"/>
        </w:rPr>
      </w:pPr>
      <w:r>
        <w:rPr>
          <w:rFonts w:hint="eastAsia"/>
          <w:lang w:val="en-US" w:eastAsia="zh-CN"/>
        </w:rPr>
        <w:t>3磷酸铁锂电池充放电效率约束，SOC约束</w:t>
      </w:r>
    </w:p>
    <w:p w14:paraId="3982755F">
      <w:pPr>
        <w:keepNext w:val="0"/>
        <w:keepLines w:val="0"/>
        <w:widowControl/>
        <w:suppressLineNumbers w:val="0"/>
        <w:jc w:val="left"/>
        <w:rPr>
          <w:rFonts w:hint="eastAsia" w:ascii="等线" w:hAnsi="等线" w:eastAsia="等线" w:cs="等线"/>
          <w:sz w:val="22"/>
          <w:szCs w:val="22"/>
          <w:lang w:val="en-US" w:eastAsia="zh-CN"/>
        </w:rPr>
      </w:pPr>
      <w:r>
        <w:rPr>
          <w:rFonts w:hint="eastAsia" w:ascii="等线" w:hAnsi="等线" w:eastAsia="等线" w:cs="等线"/>
          <w:sz w:val="22"/>
          <w:szCs w:val="22"/>
          <w:lang w:val="en-US" w:eastAsia="zh-CN"/>
        </w:rPr>
        <w:t>充放电功率上限为额定功率Ps,t=90%，10% ≤ SOC ≤ 90% 。</w:t>
      </w:r>
    </w:p>
    <w:p w14:paraId="1BBF5FB6">
      <w:pPr>
        <w:keepNext w:val="0"/>
        <w:keepLines w:val="0"/>
        <w:widowControl/>
        <w:suppressLineNumbers w:val="0"/>
        <w:jc w:val="left"/>
        <w:rPr>
          <w:rFonts w:hint="eastAsia" w:ascii="等线" w:hAnsi="等线" w:eastAsia="等线" w:cs="等线"/>
          <w:kern w:val="0"/>
          <w:sz w:val="22"/>
          <w:szCs w:val="22"/>
          <w:lang w:val="en-US" w:eastAsia="zh-CN" w:bidi="ar"/>
        </w:rPr>
      </w:pPr>
      <w:r>
        <w:rPr>
          <w:rFonts w:hint="eastAsia" w:ascii="等线" w:hAnsi="等线" w:eastAsia="等线" w:cs="等线"/>
          <w:color w:val="000000"/>
          <w:spacing w:val="0"/>
          <w:kern w:val="0"/>
          <w:position w:val="0"/>
          <w:sz w:val="22"/>
          <w:szCs w:val="22"/>
          <w:lang w:val="en-US" w:eastAsia="zh-CN" w:bidi="ar"/>
        </w:rPr>
        <w:t>每充入1 kWh 电量，最终能放出的电量为ηc×ηd =0.9025 kWh，即约9.75%的能量在充放过程中损耗</w:t>
      </w:r>
      <w:r>
        <w:rPr>
          <w:rFonts w:hint="eastAsia" w:ascii="等线" w:hAnsi="等线" w:eastAsia="等线" w:cs="等线"/>
          <w:kern w:val="0"/>
          <w:sz w:val="22"/>
          <w:szCs w:val="22"/>
          <w:lang w:val="en-US" w:eastAsia="zh-CN" w:bidi="ar"/>
        </w:rPr>
        <w:t xml:space="preserve"> （充电效率</w:t>
      </w:r>
      <w:r>
        <w:rPr>
          <w:rFonts w:hint="eastAsia" w:ascii="等线" w:hAnsi="等线" w:eastAsia="等线" w:cs="等线"/>
          <w:color w:val="000000"/>
          <w:spacing w:val="0"/>
          <w:kern w:val="0"/>
          <w:position w:val="0"/>
          <w:sz w:val="22"/>
          <w:szCs w:val="22"/>
          <w:lang w:val="en-US" w:eastAsia="zh-CN" w:bidi="ar"/>
        </w:rPr>
        <w:t>ηc表示充入储能的能量中真正被存入的比例，放电效率ηd 表示从储能取出的能量与实际释放的能量的比值</w:t>
      </w:r>
      <w:r>
        <w:rPr>
          <w:rFonts w:hint="eastAsia" w:ascii="等线" w:hAnsi="等线" w:eastAsia="等线" w:cs="等线"/>
          <w:kern w:val="0"/>
          <w:sz w:val="22"/>
          <w:szCs w:val="22"/>
          <w:lang w:val="en-US" w:eastAsia="zh-CN" w:bidi="ar"/>
        </w:rPr>
        <w:t>）</w:t>
      </w:r>
    </w:p>
    <w:p w14:paraId="79BA0ED9">
      <w:pPr>
        <w:pStyle w:val="7"/>
        <w:bidi w:val="0"/>
        <w:rPr>
          <w:rFonts w:hint="eastAsia"/>
          <w:lang w:eastAsia="zh-CN"/>
        </w:rPr>
      </w:pPr>
      <w:r>
        <w:rPr>
          <w:rFonts w:hint="eastAsia"/>
          <w:lang w:val="en-US" w:eastAsia="zh-CN"/>
        </w:rPr>
        <w:t>4</w:t>
      </w:r>
      <w:r>
        <w:rPr>
          <w:rFonts w:hint="eastAsia"/>
          <w:lang w:eastAsia="zh-CN"/>
        </w:rPr>
        <w:t>日循环稳态约束。</w:t>
      </w:r>
    </w:p>
    <w:p w14:paraId="1D6A4CA0">
      <w:pPr>
        <w:numPr>
          <w:ilvl w:val="0"/>
          <w:numId w:val="0"/>
        </w:numPr>
        <w:ind w:firstLine="420" w:firstLineChars="200"/>
      </w:pPr>
      <w:r>
        <w:rPr>
          <w:rFonts w:hint="eastAsia" w:ascii="宋体" w:hAnsi="宋体" w:eastAsia="宋体" w:cs="宋体"/>
          <w:lang w:eastAsia="zh-CN"/>
        </w:rPr>
        <w:t>由于典型日逐日重复，储能不能每天净消耗或净累积电量，否则</w:t>
      </w:r>
      <w:r>
        <w:t xml:space="preserve"> SOC </w:t>
      </w:r>
      <w:r>
        <w:rPr>
          <w:rFonts w:hint="eastAsia" w:ascii="宋体" w:hAnsi="宋体" w:eastAsia="宋体" w:cs="宋体"/>
          <w:lang w:eastAsia="zh-CN"/>
        </w:rPr>
        <w:t>会触及上下限。</w:t>
      </w:r>
      <w:r>
        <w:rPr>
          <w:rFonts w:hint="eastAsia" w:ascii="宋体" w:hAnsi="宋体" w:eastAsia="宋体" w:cs="宋体"/>
          <w:lang w:val="en-US" w:eastAsia="zh-CN"/>
        </w:rPr>
        <w:t>因此</w:t>
      </w:r>
      <w:r>
        <w:rPr>
          <w:rFonts w:hint="eastAsia" w:ascii="宋体" w:hAnsi="宋体" w:eastAsia="宋体" w:cs="宋体"/>
          <w:lang w:eastAsia="zh-CN"/>
        </w:rPr>
        <w:t>引入日初存量</w:t>
      </w:r>
      <w:r>
        <w:t xml:space="preserve"> E</w:t>
      </w:r>
      <w:r>
        <w:rPr>
          <w:vertAlign w:val="subscript"/>
        </w:rPr>
        <w:t xml:space="preserve">0 </w:t>
      </w:r>
      <w:r>
        <w:rPr>
          <w:rFonts w:hint="eastAsia" w:ascii="宋体" w:hAnsi="宋体" w:eastAsia="宋体" w:cs="宋体"/>
          <w:lang w:eastAsia="zh-CN"/>
        </w:rPr>
        <w:t>作为自由变量，并要求日末回到日初：</w:t>
      </w:r>
    </w:p>
    <w:p w14:paraId="70E611F8">
      <w:pPr>
        <w:ind w:firstLine="420" w:firstLineChars="200"/>
        <w:rPr>
          <w:rFonts w:hint="eastAsia" w:ascii="Courier" w:hAnsi="Courier"/>
          <w:lang w:eastAsia="zh-CN"/>
        </w:rPr>
      </w:pPr>
      <w:r>
        <w:rPr>
          <w:rFonts w:ascii="Courier" w:hAnsi="Courier"/>
        </w:rPr>
        <w:t>E</w:t>
      </w:r>
      <w:r>
        <w:rPr>
          <w:rFonts w:ascii="Courier" w:hAnsi="Courier"/>
          <w:vertAlign w:val="subscript"/>
        </w:rPr>
        <w:t>s</w:t>
      </w:r>
      <w:r>
        <w:rPr>
          <w:rFonts w:ascii="Courier" w:hAnsi="Courier"/>
        </w:rPr>
        <w:t>(23) = E</w:t>
      </w:r>
      <w:r>
        <w:rPr>
          <w:rFonts w:hint="eastAsia" w:ascii="Courier" w:hAnsi="Courier"/>
          <w:lang w:eastAsia="zh-CN"/>
        </w:rPr>
        <w:t>（</w:t>
      </w:r>
      <w:r>
        <w:rPr>
          <w:rFonts w:hint="eastAsia" w:ascii="Courier" w:hAnsi="Courier"/>
          <w:lang w:val="en-US" w:eastAsia="zh-CN"/>
        </w:rPr>
        <w:t>0</w:t>
      </w:r>
      <w:r>
        <w:rPr>
          <w:rFonts w:hint="eastAsia" w:ascii="Courier" w:hAnsi="Courier"/>
          <w:lang w:eastAsia="zh-CN"/>
        </w:rPr>
        <w:t>）</w:t>
      </w:r>
    </w:p>
    <w:p w14:paraId="1FD9C7C5">
      <w:pPr>
        <w:pStyle w:val="6"/>
        <w:bidi w:val="0"/>
        <w:rPr>
          <w:rFonts w:hint="default"/>
          <w:lang w:val="en-US" w:eastAsia="zh-CN"/>
        </w:rPr>
      </w:pPr>
      <w:r>
        <w:rPr>
          <w:rFonts w:hint="eastAsia"/>
          <w:lang w:val="en-US" w:eastAsia="zh-CN"/>
        </w:rPr>
        <w:t>2.3充放电规则</w:t>
      </w:r>
    </w:p>
    <w:p w14:paraId="6FCC221E">
      <w:pPr>
        <w:keepNext w:val="0"/>
        <w:keepLines w:val="0"/>
        <w:widowControl/>
        <w:numPr>
          <w:ilvl w:val="0"/>
          <w:numId w:val="0"/>
        </w:numPr>
        <w:suppressLineNumbers w:val="0"/>
        <w:jc w:val="left"/>
        <w:rPr>
          <w:rFonts w:hint="default" w:ascii="宋体" w:hAnsi="宋体" w:eastAsia="宋体" w:cs="宋体"/>
          <w:kern w:val="0"/>
          <w:sz w:val="24"/>
          <w:szCs w:val="24"/>
          <w:lang w:val="en-US" w:eastAsia="zh-CN" w:bidi="ar"/>
        </w:rPr>
      </w:pPr>
      <w:r>
        <w:rPr>
          <w:rFonts w:hint="eastAsia"/>
          <w:lang w:val="en-US" w:eastAsia="zh-CN"/>
        </w:rPr>
        <w:t>由上文中对无储能基准数据以及基本模型的分析，本文提出如下充放电规则：①风，光伏优供应</w:t>
      </w:r>
      <w:r>
        <w:rPr>
          <w:rFonts w:hint="eastAsia" w:ascii="宋体" w:hAnsi="宋体" w:eastAsia="宋体" w:cs="宋体"/>
          <w:color w:val="000000"/>
          <w:spacing w:val="0"/>
          <w:kern w:val="0"/>
          <w:position w:val="0"/>
          <w:sz w:val="24"/>
          <w:szCs w:val="24"/>
          <w:lang w:val="en-US" w:eastAsia="zh-CN" w:bidi="ar"/>
        </w:rPr>
        <w:t>：每个时段先以风，光伏电供负荷。多电源园区按成本由低到高消耗（光伏0.4 先于风电0.5）。 ②</w:t>
      </w:r>
      <w:r>
        <w:rPr>
          <w:rFonts w:hint="eastAsia" w:ascii="宋体" w:hAnsi="宋体" w:eastAsia="宋体" w:cs="宋体"/>
          <w:b/>
          <w:bCs/>
          <w:color w:val="000000"/>
          <w:spacing w:val="0"/>
          <w:kern w:val="0"/>
          <w:position w:val="0"/>
          <w:sz w:val="24"/>
          <w:szCs w:val="24"/>
          <w:lang w:val="en-US" w:eastAsia="zh-CN" w:bidi="ar"/>
        </w:rPr>
        <w:t>不足先释放储能</w:t>
      </w:r>
      <w:r>
        <w:rPr>
          <w:rFonts w:hint="eastAsia" w:ascii="宋体" w:hAnsi="宋体" w:eastAsia="宋体" w:cs="宋体"/>
          <w:color w:val="000000"/>
          <w:spacing w:val="0"/>
          <w:kern w:val="0"/>
          <w:position w:val="0"/>
          <w:sz w:val="24"/>
          <w:szCs w:val="24"/>
          <w:lang w:val="en-US" w:eastAsia="zh-CN" w:bidi="ar"/>
        </w:rPr>
        <w:t>：若直供后仍缺乏，且SOC 高于下限，则储能放电。放电功率取min (P</w:t>
      </w:r>
      <w:r>
        <w:rPr>
          <w:rFonts w:hint="eastAsia" w:ascii="宋体" w:hAnsi="宋体" w:eastAsia="宋体" w:cs="宋体"/>
          <w:color w:val="000000"/>
          <w:spacing w:val="0"/>
          <w:kern w:val="0"/>
          <w:position w:val="0"/>
          <w:sz w:val="24"/>
          <w:szCs w:val="24"/>
          <w:vertAlign w:val="subscript"/>
          <w:lang w:val="en-US" w:eastAsia="zh-CN" w:bidi="ar"/>
        </w:rPr>
        <w:t>rated</w:t>
      </w:r>
      <w:r>
        <w:rPr>
          <w:rFonts w:hint="eastAsia" w:ascii="宋体" w:hAnsi="宋体" w:eastAsia="宋体" w:cs="宋体"/>
          <w:color w:val="000000"/>
          <w:spacing w:val="0"/>
          <w:kern w:val="0"/>
          <w:position w:val="0"/>
          <w:sz w:val="24"/>
          <w:szCs w:val="24"/>
          <w:lang w:val="en-US" w:eastAsia="zh-CN" w:bidi="ar"/>
        </w:rPr>
        <w:t xml:space="preserve">,缺口,(SOC </w:t>
      </w:r>
      <w:r>
        <w:rPr>
          <w:rFonts w:ascii="Arial" w:hAnsi="Arial" w:eastAsia="宋体" w:cs="Arial"/>
          <w:color w:val="000000"/>
          <w:spacing w:val="0"/>
          <w:kern w:val="0"/>
          <w:position w:val="0"/>
          <w:sz w:val="24"/>
          <w:szCs w:val="24"/>
          <w:lang w:val="en-US" w:eastAsia="zh-CN" w:bidi="ar"/>
        </w:rPr>
        <w:t xml:space="preserve">− </w:t>
      </w:r>
      <w:r>
        <w:rPr>
          <w:rFonts w:hint="eastAsia" w:ascii="宋体" w:hAnsi="宋体" w:eastAsia="宋体" w:cs="宋体"/>
          <w:color w:val="000000"/>
          <w:spacing w:val="0"/>
          <w:kern w:val="0"/>
          <w:position w:val="0"/>
          <w:sz w:val="24"/>
          <w:szCs w:val="24"/>
          <w:lang w:val="en-US" w:eastAsia="zh-CN" w:bidi="ar"/>
        </w:rPr>
        <w:t>SOC</w:t>
      </w:r>
      <w:r>
        <w:rPr>
          <w:rFonts w:hint="eastAsia" w:ascii="宋体" w:hAnsi="宋体" w:eastAsia="宋体" w:cs="宋体"/>
          <w:color w:val="000000"/>
          <w:spacing w:val="0"/>
          <w:kern w:val="0"/>
          <w:position w:val="0"/>
          <w:sz w:val="24"/>
          <w:szCs w:val="24"/>
          <w:vertAlign w:val="subscript"/>
          <w:lang w:val="en-US" w:eastAsia="zh-CN" w:bidi="ar"/>
        </w:rPr>
        <w:t>min</w:t>
      </w:r>
      <w:r>
        <w:rPr>
          <w:rFonts w:hint="eastAsia" w:ascii="宋体" w:hAnsi="宋体" w:eastAsia="宋体" w:cs="宋体"/>
          <w:color w:val="000000"/>
          <w:spacing w:val="0"/>
          <w:kern w:val="0"/>
          <w:position w:val="0"/>
          <w:sz w:val="24"/>
          <w:szCs w:val="24"/>
          <w:lang w:val="en-US" w:eastAsia="zh-CN" w:bidi="ar"/>
        </w:rPr>
        <w:t>)×E ×η</w:t>
      </w:r>
      <w:r>
        <w:rPr>
          <w:rFonts w:hint="eastAsia" w:ascii="宋体" w:hAnsi="宋体" w:eastAsia="宋体" w:cs="宋体"/>
          <w:color w:val="000000"/>
          <w:spacing w:val="0"/>
          <w:kern w:val="0"/>
          <w:position w:val="0"/>
          <w:sz w:val="24"/>
          <w:szCs w:val="24"/>
          <w:vertAlign w:val="subscript"/>
          <w:lang w:val="en-US" w:eastAsia="zh-CN" w:bidi="ar"/>
        </w:rPr>
        <w:t xml:space="preserve">d </w:t>
      </w:r>
      <w:r>
        <w:rPr>
          <w:rFonts w:hint="eastAsia" w:ascii="宋体" w:hAnsi="宋体" w:eastAsia="宋体" w:cs="宋体"/>
          <w:color w:val="000000"/>
          <w:spacing w:val="0"/>
          <w:kern w:val="0"/>
          <w:position w:val="0"/>
          <w:sz w:val="24"/>
          <w:szCs w:val="24"/>
          <w:lang w:val="en-US" w:eastAsia="zh-CN" w:bidi="ar"/>
        </w:rPr>
        <w:t>/Δt)。 ③</w:t>
      </w:r>
      <w:r>
        <w:rPr>
          <w:rFonts w:hint="eastAsia" w:ascii="宋体" w:hAnsi="宋体" w:eastAsia="宋体" w:cs="宋体"/>
          <w:b/>
          <w:bCs/>
          <w:color w:val="000000"/>
          <w:spacing w:val="0"/>
          <w:kern w:val="0"/>
          <w:position w:val="0"/>
          <w:sz w:val="24"/>
          <w:szCs w:val="24"/>
          <w:lang w:val="en-US" w:eastAsia="zh-CN" w:bidi="ar"/>
        </w:rPr>
        <w:t>盈余即充</w:t>
      </w:r>
      <w:r>
        <w:rPr>
          <w:rFonts w:hint="eastAsia" w:ascii="宋体" w:hAnsi="宋体" w:eastAsia="宋体" w:cs="宋体"/>
          <w:color w:val="000000"/>
          <w:spacing w:val="0"/>
          <w:kern w:val="0"/>
          <w:position w:val="0"/>
          <w:sz w:val="24"/>
          <w:szCs w:val="24"/>
          <w:lang w:val="en-US" w:eastAsia="zh-CN" w:bidi="ar"/>
        </w:rPr>
        <w:t>：若风，光伏直供后仍有盈余，且SOC 低于上限，则储能充电。充电功率取min (P</w:t>
      </w:r>
      <w:r>
        <w:rPr>
          <w:rFonts w:hint="eastAsia" w:ascii="宋体" w:hAnsi="宋体" w:eastAsia="宋体" w:cs="宋体"/>
          <w:color w:val="000000"/>
          <w:spacing w:val="0"/>
          <w:kern w:val="0"/>
          <w:position w:val="0"/>
          <w:sz w:val="24"/>
          <w:szCs w:val="24"/>
          <w:vertAlign w:val="subscript"/>
          <w:lang w:val="en-US" w:eastAsia="zh-CN" w:bidi="ar"/>
        </w:rPr>
        <w:t>rated</w:t>
      </w:r>
      <w:r>
        <w:rPr>
          <w:rFonts w:hint="eastAsia" w:ascii="宋体" w:hAnsi="宋体" w:eastAsia="宋体" w:cs="宋体"/>
          <w:color w:val="000000"/>
          <w:spacing w:val="0"/>
          <w:kern w:val="0"/>
          <w:position w:val="0"/>
          <w:sz w:val="24"/>
          <w:szCs w:val="24"/>
          <w:lang w:val="en-US" w:eastAsia="zh-CN" w:bidi="ar"/>
        </w:rPr>
        <w:t>,盈余,(SOC</w:t>
      </w:r>
      <w:r>
        <w:rPr>
          <w:rFonts w:hint="eastAsia" w:ascii="宋体" w:hAnsi="宋体" w:eastAsia="宋体" w:cs="宋体"/>
          <w:color w:val="000000"/>
          <w:spacing w:val="0"/>
          <w:kern w:val="0"/>
          <w:position w:val="0"/>
          <w:sz w:val="24"/>
          <w:szCs w:val="24"/>
          <w:vertAlign w:val="subscript"/>
          <w:lang w:val="en-US" w:eastAsia="zh-CN" w:bidi="ar"/>
        </w:rPr>
        <w:t>max</w:t>
      </w:r>
      <w:r>
        <w:rPr>
          <w:rFonts w:hint="eastAsia" w:ascii="宋体" w:hAnsi="宋体" w:eastAsia="宋体" w:cs="宋体"/>
          <w:color w:val="000000"/>
          <w:spacing w:val="0"/>
          <w:kern w:val="0"/>
          <w:position w:val="0"/>
          <w:sz w:val="24"/>
          <w:szCs w:val="24"/>
          <w:lang w:val="en-US" w:eastAsia="zh-CN" w:bidi="ar"/>
        </w:rPr>
        <w:t xml:space="preserve">  </w:t>
      </w:r>
      <w:r>
        <w:rPr>
          <w:rFonts w:hint="default" w:ascii="Arial" w:hAnsi="Arial" w:eastAsia="宋体" w:cs="Arial"/>
          <w:color w:val="000000"/>
          <w:spacing w:val="0"/>
          <w:kern w:val="0"/>
          <w:position w:val="0"/>
          <w:sz w:val="24"/>
          <w:szCs w:val="24"/>
          <w:lang w:val="en-US" w:eastAsia="zh-CN" w:bidi="ar"/>
        </w:rPr>
        <w:t xml:space="preserve">− </w:t>
      </w:r>
      <w:r>
        <w:rPr>
          <w:rFonts w:hint="eastAsia" w:ascii="宋体" w:hAnsi="宋体" w:eastAsia="宋体" w:cs="宋体"/>
          <w:color w:val="000000"/>
          <w:spacing w:val="0"/>
          <w:kern w:val="0"/>
          <w:position w:val="0"/>
          <w:sz w:val="24"/>
          <w:szCs w:val="24"/>
          <w:lang w:val="en-US" w:eastAsia="zh-CN" w:bidi="ar"/>
        </w:rPr>
        <w:t>SOC)×E×η</w:t>
      </w:r>
      <w:r>
        <w:rPr>
          <w:rFonts w:hint="eastAsia" w:ascii="宋体" w:hAnsi="宋体" w:eastAsia="宋体" w:cs="宋体"/>
          <w:color w:val="000000"/>
          <w:spacing w:val="0"/>
          <w:kern w:val="0"/>
          <w:position w:val="0"/>
          <w:sz w:val="24"/>
          <w:szCs w:val="24"/>
          <w:vertAlign w:val="subscript"/>
          <w:lang w:val="en-US" w:eastAsia="zh-CN" w:bidi="ar"/>
        </w:rPr>
        <w:t>c</w:t>
      </w:r>
      <w:r>
        <w:rPr>
          <w:rFonts w:hint="eastAsia" w:ascii="宋体" w:hAnsi="宋体" w:eastAsia="宋体" w:cs="宋体"/>
          <w:color w:val="000000"/>
          <w:spacing w:val="0"/>
          <w:kern w:val="0"/>
          <w:position w:val="0"/>
          <w:sz w:val="24"/>
          <w:szCs w:val="24"/>
          <w:lang w:val="en-US" w:eastAsia="zh-CN" w:bidi="ar"/>
        </w:rPr>
        <w:t xml:space="preserve"> /η</w:t>
      </w:r>
      <w:r>
        <w:rPr>
          <w:rFonts w:hint="eastAsia" w:ascii="宋体" w:hAnsi="宋体" w:eastAsia="宋体" w:cs="宋体"/>
          <w:color w:val="000000"/>
          <w:spacing w:val="0"/>
          <w:kern w:val="0"/>
          <w:position w:val="0"/>
          <w:sz w:val="24"/>
          <w:szCs w:val="24"/>
          <w:vertAlign w:val="subscript"/>
          <w:lang w:val="en-US" w:eastAsia="zh-CN" w:bidi="ar"/>
        </w:rPr>
        <w:t>d</w:t>
      </w:r>
      <w:r>
        <w:rPr>
          <w:rFonts w:hint="eastAsia" w:ascii="宋体" w:hAnsi="宋体" w:eastAsia="宋体" w:cs="宋体"/>
          <w:color w:val="000000"/>
          <w:spacing w:val="0"/>
          <w:kern w:val="0"/>
          <w:position w:val="0"/>
          <w:sz w:val="24"/>
          <w:szCs w:val="24"/>
          <w:lang w:val="en-US" w:eastAsia="zh-CN" w:bidi="ar"/>
        </w:rPr>
        <w:t xml:space="preserve"> /Δt)；充电电量优先取自光伏。 ④</w:t>
      </w:r>
      <w:r>
        <w:rPr>
          <w:rFonts w:hint="eastAsia" w:ascii="宋体" w:hAnsi="宋体" w:eastAsia="宋体" w:cs="宋体"/>
          <w:b/>
          <w:bCs/>
          <w:color w:val="000000"/>
          <w:spacing w:val="0"/>
          <w:kern w:val="0"/>
          <w:position w:val="0"/>
          <w:sz w:val="24"/>
          <w:szCs w:val="24"/>
          <w:lang w:val="en-US" w:eastAsia="zh-CN" w:bidi="ar"/>
        </w:rPr>
        <w:t>余额购电，盈余弃电</w:t>
      </w:r>
      <w:r>
        <w:rPr>
          <w:rFonts w:hint="eastAsia" w:ascii="宋体" w:hAnsi="宋体" w:eastAsia="宋体" w:cs="宋体"/>
          <w:color w:val="000000"/>
          <w:spacing w:val="0"/>
          <w:kern w:val="0"/>
          <w:position w:val="0"/>
          <w:sz w:val="24"/>
          <w:szCs w:val="24"/>
          <w:lang w:val="en-US" w:eastAsia="zh-CN" w:bidi="ar"/>
        </w:rPr>
        <w:t>：若释放储能后依旧存在缺口，其余缺口由主电网购电补足；若存储后依旧剩电，富余绿电不允许上网，只能弃电。</w:t>
      </w:r>
      <w:r>
        <w:rPr>
          <w:rFonts w:ascii="宋体" w:hAnsi="宋体" w:eastAsia="宋体" w:cs="宋体"/>
          <w:kern w:val="0"/>
          <w:sz w:val="24"/>
          <w:szCs w:val="24"/>
          <w:lang w:val="en-US" w:eastAsia="zh-CN" w:bidi="ar"/>
        </w:rPr>
        <w:t xml:space="preserve"> </w:t>
      </w:r>
    </w:p>
    <w:p w14:paraId="7A871CA8">
      <w:pPr>
        <w:pStyle w:val="5"/>
        <w:bidi w:val="0"/>
        <w:rPr>
          <w:rFonts w:hint="eastAsia"/>
          <w:lang w:val="en-US" w:eastAsia="zh-CN"/>
        </w:rPr>
      </w:pPr>
      <w:r>
        <w:rPr>
          <w:rFonts w:hint="eastAsia"/>
          <w:lang w:val="en-US" w:eastAsia="zh-CN"/>
        </w:rPr>
        <w:t>3配置储能，优化模型运行结果</w:t>
      </w:r>
    </w:p>
    <w:p w14:paraId="1AC5B79A">
      <w:pPr>
        <w:pStyle w:val="6"/>
        <w:bidi w:val="0"/>
        <w:rPr>
          <w:rFonts w:hint="eastAsia"/>
          <w:lang w:val="en-US" w:eastAsia="zh-CN"/>
        </w:rPr>
      </w:pPr>
      <w:r>
        <w:rPr>
          <w:rFonts w:hint="eastAsia"/>
          <w:lang w:val="en-US" w:eastAsia="zh-CN"/>
        </w:rPr>
        <w:t>3.1数据结果</w:t>
      </w:r>
    </w:p>
    <w:p w14:paraId="53FF3733">
      <w:pPr>
        <w:rPr>
          <w:rFonts w:hint="default"/>
          <w:lang w:val="en-US" w:eastAsia="zh-CN"/>
        </w:rPr>
      </w:pPr>
      <w:r>
        <w:rPr>
          <w:rFonts w:hint="eastAsia"/>
          <w:lang w:val="en-US" w:eastAsia="zh-CN"/>
        </w:rPr>
        <w:t>下图（3.1.1）为A,B,C三园区配置50kw/100kw储能的数据</w:t>
      </w:r>
    </w:p>
    <w:tbl>
      <w:tblPr>
        <w:tblStyle w:val="13"/>
        <w:tblW w:w="73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4"/>
        <w:gridCol w:w="1031"/>
        <w:gridCol w:w="848"/>
        <w:gridCol w:w="1009"/>
        <w:gridCol w:w="983"/>
        <w:gridCol w:w="908"/>
        <w:gridCol w:w="983"/>
        <w:gridCol w:w="846"/>
      </w:tblGrid>
      <w:tr w14:paraId="0DB31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4" w:hRule="atLeast"/>
        </w:trPr>
        <w:tc>
          <w:tcPr>
            <w:tcW w:w="850" w:type="dxa"/>
            <w:tcBorders>
              <w:top w:val="nil"/>
              <w:left w:val="nil"/>
              <w:bottom w:val="nil"/>
              <w:right w:val="nil"/>
            </w:tcBorders>
            <w:shd w:val="clear" w:color="auto" w:fill="4874CB" w:themeFill="accent1"/>
          </w:tcPr>
          <w:p w14:paraId="1E33AE0E">
            <w:pPr>
              <w:rPr>
                <w:rFonts w:hint="default"/>
                <w:b/>
                <w:i w:val="0"/>
                <w:color w:val="FFFFFF"/>
                <w:vertAlign w:val="baseline"/>
                <w:lang w:val="en-US" w:eastAsia="zh-CN"/>
              </w:rPr>
            </w:pPr>
            <w:r>
              <w:rPr>
                <w:rFonts w:hint="eastAsia"/>
                <w:b/>
                <w:i w:val="0"/>
                <w:color w:val="FFFFFF"/>
                <w:vertAlign w:val="baseline"/>
                <w:lang w:val="en-US" w:eastAsia="zh-CN"/>
              </w:rPr>
              <w:t>园区</w:t>
            </w:r>
          </w:p>
        </w:tc>
        <w:tc>
          <w:tcPr>
            <w:tcW w:w="1098" w:type="dxa"/>
            <w:tcBorders>
              <w:top w:val="nil"/>
              <w:left w:val="nil"/>
              <w:bottom w:val="nil"/>
              <w:right w:val="nil"/>
            </w:tcBorders>
            <w:shd w:val="clear" w:color="auto" w:fill="FFFFFF"/>
            <w:vAlign w:val="top"/>
          </w:tcPr>
          <w:p w14:paraId="058D0FA1">
            <w:pPr>
              <w:pStyle w:val="11"/>
              <w:keepNext w:val="0"/>
              <w:keepLines w:val="0"/>
              <w:widowControl/>
              <w:suppressLineNumbers w:val="0"/>
              <w:ind w:left="0" w:leftChars="0" w:right="0" w:rightChars="0"/>
              <w:rPr>
                <w:rFonts w:hint="eastAsia" w:asciiTheme="minorHAnsi" w:hAnsiTheme="minorHAnsi" w:eastAsiaTheme="minorEastAsia" w:cstheme="minorBidi"/>
                <w:b/>
                <w:i w:val="0"/>
                <w:color w:val="000000"/>
                <w:kern w:val="0"/>
                <w:sz w:val="24"/>
                <w:szCs w:val="24"/>
                <w:vertAlign w:val="baseline"/>
                <w:lang w:val="en-US" w:eastAsia="zh-CN" w:bidi="ar"/>
              </w:rPr>
            </w:pPr>
            <w:r>
              <w:rPr>
                <w:rFonts w:hint="eastAsia"/>
                <w:b/>
                <w:i w:val="0"/>
                <w:color w:val="000000"/>
                <w:vertAlign w:val="baseline"/>
                <w:lang w:val="en-US" w:eastAsia="zh-CN"/>
              </w:rPr>
              <w:t>充电量</w:t>
            </w:r>
          </w:p>
        </w:tc>
        <w:tc>
          <w:tcPr>
            <w:tcW w:w="862" w:type="dxa"/>
            <w:tcBorders>
              <w:top w:val="nil"/>
              <w:left w:val="nil"/>
              <w:bottom w:val="nil"/>
              <w:right w:val="nil"/>
            </w:tcBorders>
            <w:shd w:val="clear" w:color="auto" w:fill="FFFFFF"/>
            <w:vAlign w:val="top"/>
          </w:tcPr>
          <w:p w14:paraId="3C5434BF">
            <w:pPr>
              <w:pStyle w:val="11"/>
              <w:keepNext w:val="0"/>
              <w:keepLines w:val="0"/>
              <w:widowControl/>
              <w:suppressLineNumbers w:val="0"/>
              <w:ind w:left="0" w:leftChars="0" w:right="0" w:rightChars="0"/>
              <w:rPr>
                <w:rFonts w:hint="default" w:asciiTheme="minorHAnsi" w:hAnsiTheme="minorHAnsi" w:eastAsiaTheme="minorEastAsia" w:cstheme="minorBidi"/>
                <w:b/>
                <w:i w:val="0"/>
                <w:color w:val="000000"/>
                <w:kern w:val="0"/>
                <w:sz w:val="24"/>
                <w:szCs w:val="24"/>
                <w:vertAlign w:val="baseline"/>
                <w:lang w:val="en-US" w:eastAsia="zh-CN" w:bidi="ar"/>
              </w:rPr>
            </w:pPr>
            <w:r>
              <w:rPr>
                <w:rFonts w:hint="eastAsia" w:cstheme="minorBidi"/>
                <w:b/>
                <w:i w:val="0"/>
                <w:color w:val="000000"/>
                <w:kern w:val="0"/>
                <w:sz w:val="24"/>
                <w:szCs w:val="24"/>
                <w:vertAlign w:val="baseline"/>
                <w:lang w:val="en-US" w:eastAsia="zh-CN" w:bidi="ar"/>
              </w:rPr>
              <w:t>放电量</w:t>
            </w:r>
          </w:p>
        </w:tc>
        <w:tc>
          <w:tcPr>
            <w:tcW w:w="1017" w:type="dxa"/>
            <w:tcBorders>
              <w:top w:val="nil"/>
              <w:left w:val="nil"/>
              <w:bottom w:val="nil"/>
              <w:right w:val="nil"/>
            </w:tcBorders>
            <w:shd w:val="clear" w:color="auto" w:fill="FFFFFF"/>
            <w:vAlign w:val="top"/>
          </w:tcPr>
          <w:p w14:paraId="661F0B4F">
            <w:pPr>
              <w:pStyle w:val="11"/>
              <w:keepNext w:val="0"/>
              <w:keepLines w:val="0"/>
              <w:widowControl/>
              <w:suppressLineNumbers w:val="0"/>
              <w:ind w:left="0" w:leftChars="0" w:right="0" w:rightChars="0"/>
              <w:rPr>
                <w:rFonts w:hint="eastAsia" w:asciiTheme="minorHAnsi" w:hAnsiTheme="minorHAnsi" w:eastAsiaTheme="minorEastAsia" w:cstheme="minorBidi"/>
                <w:b/>
                <w:i w:val="0"/>
                <w:color w:val="000000"/>
                <w:kern w:val="0"/>
                <w:sz w:val="24"/>
                <w:szCs w:val="24"/>
                <w:vertAlign w:val="baseline"/>
                <w:lang w:val="en-US" w:eastAsia="zh-CN" w:bidi="ar"/>
              </w:rPr>
            </w:pPr>
            <w:r>
              <w:rPr>
                <w:rFonts w:hint="eastAsia"/>
                <w:b/>
                <w:i w:val="0"/>
                <w:color w:val="000000"/>
                <w:vertAlign w:val="baseline"/>
                <w:lang w:val="en-US" w:eastAsia="zh-CN"/>
              </w:rPr>
              <w:t>电网购电量（kwh/日）</w:t>
            </w:r>
          </w:p>
        </w:tc>
        <w:tc>
          <w:tcPr>
            <w:tcW w:w="980" w:type="dxa"/>
            <w:tcBorders>
              <w:top w:val="nil"/>
              <w:left w:val="nil"/>
              <w:bottom w:val="nil"/>
              <w:right w:val="nil"/>
            </w:tcBorders>
            <w:shd w:val="clear" w:color="auto" w:fill="FFFFFF"/>
            <w:vAlign w:val="top"/>
          </w:tcPr>
          <w:p w14:paraId="7B0CA64C">
            <w:pPr>
              <w:pStyle w:val="11"/>
              <w:keepNext w:val="0"/>
              <w:keepLines w:val="0"/>
              <w:widowControl/>
              <w:suppressLineNumbers w:val="0"/>
              <w:ind w:left="0" w:leftChars="0" w:right="0" w:rightChars="0"/>
              <w:rPr>
                <w:rFonts w:hint="eastAsia" w:asciiTheme="minorHAnsi" w:hAnsiTheme="minorHAnsi" w:eastAsiaTheme="minorEastAsia" w:cstheme="minorBidi"/>
                <w:b/>
                <w:i w:val="0"/>
                <w:color w:val="000000"/>
                <w:kern w:val="0"/>
                <w:sz w:val="24"/>
                <w:szCs w:val="24"/>
                <w:vertAlign w:val="baseline"/>
                <w:lang w:val="en-US" w:eastAsia="zh-CN" w:bidi="ar"/>
              </w:rPr>
            </w:pPr>
            <w:r>
              <w:rPr>
                <w:rFonts w:hint="eastAsia"/>
                <w:b/>
                <w:i w:val="0"/>
                <w:color w:val="000000"/>
                <w:vertAlign w:val="baseline"/>
                <w:lang w:val="en-US" w:eastAsia="zh-CN"/>
              </w:rPr>
              <w:t>弃电量（kwh/日）</w:t>
            </w:r>
          </w:p>
        </w:tc>
        <w:tc>
          <w:tcPr>
            <w:tcW w:w="908" w:type="dxa"/>
            <w:tcBorders>
              <w:top w:val="nil"/>
              <w:left w:val="nil"/>
              <w:bottom w:val="nil"/>
              <w:right w:val="nil"/>
            </w:tcBorders>
            <w:shd w:val="clear" w:color="auto" w:fill="4874CB" w:themeFill="accent1"/>
          </w:tcPr>
          <w:p w14:paraId="3283FD91">
            <w:pPr>
              <w:pStyle w:val="11"/>
              <w:keepNext w:val="0"/>
              <w:keepLines w:val="0"/>
              <w:widowControl/>
              <w:suppressLineNumbers w:val="0"/>
              <w:ind w:left="0" w:leftChars="0" w:right="0" w:rightChars="0"/>
              <w:rPr>
                <w:rFonts w:hint="eastAsia" w:asciiTheme="minorHAnsi" w:hAnsiTheme="minorHAnsi" w:eastAsiaTheme="minorEastAsia" w:cstheme="minorBidi"/>
                <w:b/>
                <w:i w:val="0"/>
                <w:color w:val="000000"/>
                <w:kern w:val="0"/>
                <w:sz w:val="24"/>
                <w:szCs w:val="24"/>
                <w:vertAlign w:val="baseline"/>
                <w:lang w:val="en-US" w:eastAsia="zh-CN" w:bidi="ar"/>
              </w:rPr>
            </w:pPr>
            <w:r>
              <w:rPr>
                <w:rFonts w:hint="eastAsia"/>
                <w:b/>
                <w:i w:val="0"/>
                <w:color w:val="000000"/>
                <w:vertAlign w:val="baseline"/>
                <w:lang w:val="en-US" w:eastAsia="zh-CN"/>
              </w:rPr>
              <w:t>总成本（元/日）</w:t>
            </w:r>
          </w:p>
        </w:tc>
        <w:tc>
          <w:tcPr>
            <w:tcW w:w="802" w:type="dxa"/>
            <w:tcBorders>
              <w:top w:val="nil"/>
              <w:left w:val="nil"/>
              <w:bottom w:val="nil"/>
              <w:right w:val="nil"/>
            </w:tcBorders>
            <w:shd w:val="clear" w:color="auto" w:fill="4874CB" w:themeFill="accent1"/>
          </w:tcPr>
          <w:p w14:paraId="60FC8B18">
            <w:pPr>
              <w:pStyle w:val="11"/>
              <w:keepNext w:val="0"/>
              <w:keepLines w:val="0"/>
              <w:widowControl/>
              <w:suppressLineNumbers w:val="0"/>
              <w:ind w:left="0" w:leftChars="0" w:right="0" w:rightChars="0"/>
              <w:rPr>
                <w:rFonts w:hint="default" w:asciiTheme="minorHAnsi" w:hAnsiTheme="minorHAnsi" w:eastAsiaTheme="minorEastAsia" w:cstheme="minorBidi"/>
                <w:b/>
                <w:i w:val="0"/>
                <w:color w:val="000000"/>
                <w:kern w:val="0"/>
                <w:sz w:val="24"/>
                <w:szCs w:val="24"/>
                <w:vertAlign w:val="baseline"/>
                <w:lang w:val="en-US" w:eastAsia="zh-CN" w:bidi="ar"/>
              </w:rPr>
            </w:pPr>
            <w:r>
              <w:rPr>
                <w:rFonts w:hint="eastAsia"/>
                <w:b/>
                <w:i w:val="0"/>
                <w:color w:val="000000"/>
                <w:vertAlign w:val="baseline"/>
                <w:lang w:val="en-US" w:eastAsia="zh-CN"/>
              </w:rPr>
              <w:t>平均供电成本（元/kwh）</w:t>
            </w:r>
          </w:p>
        </w:tc>
        <w:tc>
          <w:tcPr>
            <w:tcW w:w="845" w:type="dxa"/>
            <w:tcBorders>
              <w:top w:val="nil"/>
              <w:left w:val="nil"/>
              <w:bottom w:val="nil"/>
              <w:right w:val="nil"/>
            </w:tcBorders>
            <w:shd w:val="clear" w:color="auto" w:fill="4874CB" w:themeFill="accent1"/>
          </w:tcPr>
          <w:p w14:paraId="79E42EED">
            <w:pPr>
              <w:pStyle w:val="11"/>
              <w:keepNext w:val="0"/>
              <w:keepLines w:val="0"/>
              <w:widowControl/>
              <w:suppressLineNumbers w:val="0"/>
              <w:ind w:left="0" w:leftChars="0" w:right="0" w:rightChars="0"/>
              <w:rPr>
                <w:rFonts w:hint="eastAsia" w:asciiTheme="minorHAnsi" w:hAnsiTheme="minorHAnsi" w:eastAsiaTheme="minorEastAsia" w:cstheme="minorBidi"/>
                <w:b/>
                <w:i w:val="0"/>
                <w:color w:val="000000"/>
                <w:kern w:val="0"/>
                <w:sz w:val="24"/>
                <w:szCs w:val="24"/>
                <w:vertAlign w:val="baseline"/>
                <w:lang w:val="en-US" w:eastAsia="zh-CN" w:bidi="ar"/>
              </w:rPr>
            </w:pPr>
            <w:r>
              <w:rPr>
                <w:rFonts w:hint="eastAsia"/>
                <w:b/>
                <w:i w:val="0"/>
                <w:color w:val="000000"/>
                <w:vertAlign w:val="baseline"/>
                <w:lang w:val="en-US" w:eastAsia="zh-CN"/>
              </w:rPr>
              <w:t>弃电率</w:t>
            </w:r>
          </w:p>
        </w:tc>
      </w:tr>
      <w:tr w14:paraId="0F086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4" w:hRule="atLeast"/>
        </w:trPr>
        <w:tc>
          <w:tcPr>
            <w:tcW w:w="850" w:type="dxa"/>
            <w:tcBorders>
              <w:top w:val="nil"/>
              <w:left w:val="nil"/>
              <w:bottom w:val="nil"/>
              <w:right w:val="nil"/>
            </w:tcBorders>
            <w:shd w:val="clear" w:color="auto" w:fill="FFFFFF"/>
          </w:tcPr>
          <w:p w14:paraId="2002E83B">
            <w:pPr>
              <w:rPr>
                <w:rFonts w:hint="default"/>
                <w:b w:val="0"/>
                <w:i w:val="0"/>
                <w:color w:val="000000"/>
                <w:vertAlign w:val="baseline"/>
                <w:lang w:val="en-US" w:eastAsia="zh-CN"/>
              </w:rPr>
            </w:pPr>
            <w:r>
              <w:rPr>
                <w:rFonts w:hint="eastAsia"/>
                <w:b w:val="0"/>
                <w:i w:val="0"/>
                <w:color w:val="000000"/>
                <w:vertAlign w:val="baseline"/>
                <w:lang w:val="en-US" w:eastAsia="zh-CN"/>
              </w:rPr>
              <w:t>A</w:t>
            </w:r>
          </w:p>
        </w:tc>
        <w:tc>
          <w:tcPr>
            <w:tcW w:w="1098" w:type="dxa"/>
            <w:tcBorders>
              <w:top w:val="nil"/>
              <w:left w:val="nil"/>
              <w:bottom w:val="nil"/>
              <w:right w:val="nil"/>
            </w:tcBorders>
            <w:shd w:val="clear" w:color="auto" w:fill="FFFFFF"/>
          </w:tcPr>
          <w:p w14:paraId="2C931D37">
            <w:pPr>
              <w:rPr>
                <w:rFonts w:hint="default"/>
                <w:b w:val="0"/>
                <w:i w:val="0"/>
                <w:color w:val="000000"/>
                <w:vertAlign w:val="baseline"/>
                <w:lang w:val="en-US" w:eastAsia="zh-CN"/>
              </w:rPr>
            </w:pPr>
            <w:r>
              <w:rPr>
                <w:rFonts w:hint="eastAsia"/>
                <w:b w:val="0"/>
                <w:i w:val="0"/>
                <w:color w:val="000000"/>
                <w:vertAlign w:val="baseline"/>
                <w:lang w:val="en-US" w:eastAsia="zh-CN"/>
              </w:rPr>
              <w:t>84.21</w:t>
            </w:r>
          </w:p>
        </w:tc>
        <w:tc>
          <w:tcPr>
            <w:tcW w:w="862" w:type="dxa"/>
            <w:tcBorders>
              <w:top w:val="nil"/>
              <w:left w:val="nil"/>
              <w:bottom w:val="nil"/>
              <w:right w:val="nil"/>
            </w:tcBorders>
            <w:shd w:val="clear" w:color="auto" w:fill="FFFFFF"/>
          </w:tcPr>
          <w:p w14:paraId="703E6084">
            <w:pPr>
              <w:rPr>
                <w:rFonts w:hint="default"/>
                <w:b w:val="0"/>
                <w:i w:val="0"/>
                <w:color w:val="000000"/>
                <w:vertAlign w:val="baseline"/>
                <w:lang w:val="en-US" w:eastAsia="zh-CN"/>
              </w:rPr>
            </w:pPr>
            <w:r>
              <w:rPr>
                <w:rFonts w:hint="eastAsia"/>
                <w:b w:val="0"/>
                <w:i w:val="0"/>
                <w:color w:val="000000"/>
                <w:vertAlign w:val="baseline"/>
                <w:lang w:val="en-US" w:eastAsia="zh-CN"/>
              </w:rPr>
              <w:t>76</w:t>
            </w:r>
          </w:p>
        </w:tc>
        <w:tc>
          <w:tcPr>
            <w:tcW w:w="1017" w:type="dxa"/>
            <w:tcBorders>
              <w:top w:val="nil"/>
              <w:left w:val="nil"/>
              <w:bottom w:val="nil"/>
              <w:right w:val="nil"/>
            </w:tcBorders>
            <w:shd w:val="clear" w:color="auto" w:fill="FFFFFF"/>
          </w:tcPr>
          <w:p w14:paraId="42505D54">
            <w:pPr>
              <w:rPr>
                <w:rFonts w:hint="default"/>
                <w:b w:val="0"/>
                <w:i w:val="0"/>
                <w:color w:val="000000"/>
                <w:vertAlign w:val="baseline"/>
                <w:lang w:val="en-US" w:eastAsia="zh-CN"/>
              </w:rPr>
            </w:pPr>
            <w:r>
              <w:rPr>
                <w:rFonts w:hint="eastAsia"/>
                <w:b w:val="0"/>
                <w:i w:val="0"/>
                <w:color w:val="000000"/>
                <w:vertAlign w:val="baseline"/>
                <w:lang w:val="en-US" w:eastAsia="zh-CN"/>
              </w:rPr>
              <w:t>4798.13</w:t>
            </w:r>
          </w:p>
        </w:tc>
        <w:tc>
          <w:tcPr>
            <w:tcW w:w="980" w:type="dxa"/>
            <w:tcBorders>
              <w:top w:val="nil"/>
              <w:left w:val="nil"/>
              <w:bottom w:val="nil"/>
              <w:right w:val="nil"/>
            </w:tcBorders>
            <w:shd w:val="clear" w:color="auto" w:fill="FFFFFF"/>
          </w:tcPr>
          <w:p w14:paraId="2225CE8C">
            <w:pPr>
              <w:rPr>
                <w:rFonts w:hint="default"/>
                <w:b w:val="0"/>
                <w:i w:val="0"/>
                <w:color w:val="000000"/>
                <w:vertAlign w:val="baseline"/>
                <w:lang w:val="en-US" w:eastAsia="zh-CN"/>
              </w:rPr>
            </w:pPr>
            <w:r>
              <w:rPr>
                <w:rFonts w:hint="eastAsia"/>
                <w:b w:val="0"/>
                <w:i w:val="0"/>
                <w:color w:val="000000"/>
                <w:vertAlign w:val="baseline"/>
                <w:lang w:val="en-US" w:eastAsia="zh-CN"/>
              </w:rPr>
              <w:t>866.99</w:t>
            </w:r>
          </w:p>
        </w:tc>
        <w:tc>
          <w:tcPr>
            <w:tcW w:w="908" w:type="dxa"/>
            <w:tcBorders>
              <w:top w:val="nil"/>
              <w:left w:val="nil"/>
              <w:bottom w:val="nil"/>
              <w:right w:val="nil"/>
            </w:tcBorders>
            <w:shd w:val="clear" w:color="auto" w:fill="FFFFFF"/>
          </w:tcPr>
          <w:p w14:paraId="034A3FAA">
            <w:pPr>
              <w:rPr>
                <w:rFonts w:hint="default"/>
                <w:b w:val="0"/>
                <w:i w:val="0"/>
                <w:color w:val="000000"/>
                <w:vertAlign w:val="baseline"/>
                <w:lang w:val="en-US" w:eastAsia="zh-CN"/>
              </w:rPr>
            </w:pPr>
            <w:r>
              <w:rPr>
                <w:rFonts w:hint="eastAsia"/>
                <w:b w:val="0"/>
                <w:i w:val="0"/>
                <w:color w:val="000000"/>
                <w:vertAlign w:val="baseline"/>
                <w:lang w:val="en-US" w:eastAsia="zh-CN"/>
              </w:rPr>
              <w:t>6042.56</w:t>
            </w:r>
          </w:p>
        </w:tc>
        <w:tc>
          <w:tcPr>
            <w:tcW w:w="802" w:type="dxa"/>
            <w:tcBorders>
              <w:top w:val="nil"/>
              <w:left w:val="nil"/>
              <w:bottom w:val="nil"/>
              <w:right w:val="nil"/>
            </w:tcBorders>
            <w:shd w:val="clear" w:color="auto" w:fill="FFFFFF"/>
          </w:tcPr>
          <w:p w14:paraId="199AF9C7">
            <w:pPr>
              <w:rPr>
                <w:rFonts w:hint="default"/>
                <w:b w:val="0"/>
                <w:i w:val="0"/>
                <w:color w:val="000000"/>
                <w:vertAlign w:val="baseline"/>
                <w:lang w:val="en-US" w:eastAsia="zh-CN"/>
              </w:rPr>
            </w:pPr>
            <w:r>
              <w:rPr>
                <w:rFonts w:hint="eastAsia"/>
                <w:b w:val="0"/>
                <w:i w:val="0"/>
                <w:color w:val="000000"/>
                <w:vertAlign w:val="baseline"/>
                <w:lang w:val="en-US" w:eastAsia="zh-CN"/>
              </w:rPr>
              <w:t>0.7648</w:t>
            </w:r>
          </w:p>
        </w:tc>
        <w:tc>
          <w:tcPr>
            <w:tcW w:w="845" w:type="dxa"/>
            <w:tcBorders>
              <w:top w:val="nil"/>
              <w:left w:val="nil"/>
              <w:bottom w:val="nil"/>
              <w:right w:val="nil"/>
            </w:tcBorders>
            <w:shd w:val="clear" w:color="auto" w:fill="FFFFFF"/>
          </w:tcPr>
          <w:p w14:paraId="4A27353A">
            <w:pPr>
              <w:rPr>
                <w:rFonts w:hint="default"/>
                <w:b w:val="0"/>
                <w:i w:val="0"/>
                <w:color w:val="000000"/>
                <w:vertAlign w:val="baseline"/>
                <w:lang w:val="en-US" w:eastAsia="zh-CN"/>
              </w:rPr>
            </w:pPr>
            <w:r>
              <w:rPr>
                <w:rFonts w:hint="eastAsia"/>
                <w:b w:val="0"/>
                <w:i w:val="0"/>
                <w:color w:val="000000"/>
                <w:vertAlign w:val="baseline"/>
                <w:lang w:val="en-US" w:eastAsia="zh-CN"/>
              </w:rPr>
              <w:t>21.79%</w:t>
            </w:r>
          </w:p>
        </w:tc>
      </w:tr>
      <w:tr w14:paraId="09AF9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850" w:type="dxa"/>
            <w:tcBorders>
              <w:top w:val="nil"/>
              <w:left w:val="nil"/>
              <w:bottom w:val="nil"/>
              <w:right w:val="nil"/>
            </w:tcBorders>
            <w:shd w:val="clear" w:color="auto" w:fill="EDF1F9" w:themeFill="accent1" w:themeFillTint="19"/>
          </w:tcPr>
          <w:p w14:paraId="1D9BC654">
            <w:pPr>
              <w:rPr>
                <w:rFonts w:hint="default"/>
                <w:b w:val="0"/>
                <w:i w:val="0"/>
                <w:color w:val="000000"/>
                <w:vertAlign w:val="baseline"/>
                <w:lang w:val="en-US" w:eastAsia="zh-CN"/>
              </w:rPr>
            </w:pPr>
            <w:r>
              <w:rPr>
                <w:rFonts w:hint="eastAsia"/>
                <w:b w:val="0"/>
                <w:i w:val="0"/>
                <w:color w:val="000000"/>
                <w:vertAlign w:val="baseline"/>
                <w:lang w:val="en-US" w:eastAsia="zh-CN"/>
              </w:rPr>
              <w:t>B</w:t>
            </w:r>
          </w:p>
        </w:tc>
        <w:tc>
          <w:tcPr>
            <w:tcW w:w="1098" w:type="dxa"/>
            <w:tcBorders>
              <w:top w:val="nil"/>
              <w:left w:val="nil"/>
              <w:bottom w:val="nil"/>
              <w:right w:val="nil"/>
            </w:tcBorders>
            <w:shd w:val="clear" w:color="auto" w:fill="EDF1F9" w:themeFill="accent1" w:themeFillTint="19"/>
          </w:tcPr>
          <w:p w14:paraId="6FA4F6FA">
            <w:pPr>
              <w:rPr>
                <w:rFonts w:hint="default"/>
                <w:b w:val="0"/>
                <w:i w:val="0"/>
                <w:color w:val="000000"/>
                <w:vertAlign w:val="baseline"/>
                <w:lang w:val="en-US" w:eastAsia="zh-CN"/>
              </w:rPr>
            </w:pPr>
            <w:r>
              <w:rPr>
                <w:rFonts w:hint="eastAsia"/>
                <w:b w:val="0"/>
                <w:i w:val="0"/>
                <w:color w:val="000000"/>
                <w:vertAlign w:val="baseline"/>
                <w:lang w:val="en-US" w:eastAsia="zh-CN"/>
              </w:rPr>
              <w:t>203.96</w:t>
            </w:r>
          </w:p>
        </w:tc>
        <w:tc>
          <w:tcPr>
            <w:tcW w:w="862" w:type="dxa"/>
            <w:tcBorders>
              <w:top w:val="nil"/>
              <w:left w:val="nil"/>
              <w:bottom w:val="nil"/>
              <w:right w:val="nil"/>
            </w:tcBorders>
            <w:shd w:val="clear" w:color="auto" w:fill="EDF1F9" w:themeFill="accent1" w:themeFillTint="19"/>
          </w:tcPr>
          <w:p w14:paraId="7B572C31">
            <w:pPr>
              <w:rPr>
                <w:rFonts w:hint="default"/>
                <w:b w:val="0"/>
                <w:i w:val="0"/>
                <w:color w:val="000000"/>
                <w:vertAlign w:val="baseline"/>
                <w:lang w:val="en-US" w:eastAsia="zh-CN"/>
              </w:rPr>
            </w:pPr>
            <w:r>
              <w:rPr>
                <w:rFonts w:hint="eastAsia"/>
                <w:b w:val="0"/>
                <w:i w:val="0"/>
                <w:color w:val="000000"/>
                <w:vertAlign w:val="baseline"/>
                <w:lang w:val="en-US" w:eastAsia="zh-CN"/>
              </w:rPr>
              <w:t>184.08</w:t>
            </w:r>
          </w:p>
        </w:tc>
        <w:tc>
          <w:tcPr>
            <w:tcW w:w="1017" w:type="dxa"/>
            <w:tcBorders>
              <w:top w:val="nil"/>
              <w:left w:val="nil"/>
              <w:bottom w:val="nil"/>
              <w:right w:val="nil"/>
            </w:tcBorders>
            <w:shd w:val="clear" w:color="auto" w:fill="EDF1F9" w:themeFill="accent1" w:themeFillTint="19"/>
          </w:tcPr>
          <w:p w14:paraId="21750F29">
            <w:pPr>
              <w:rPr>
                <w:rFonts w:hint="default"/>
                <w:b w:val="0"/>
                <w:i w:val="0"/>
                <w:color w:val="000000"/>
                <w:vertAlign w:val="baseline"/>
                <w:lang w:val="en-US" w:eastAsia="zh-CN"/>
              </w:rPr>
            </w:pPr>
            <w:r>
              <w:rPr>
                <w:rFonts w:hint="eastAsia"/>
                <w:b w:val="0"/>
                <w:i w:val="0"/>
                <w:color w:val="000000"/>
                <w:vertAlign w:val="baseline"/>
                <w:lang w:val="en-US" w:eastAsia="zh-CN"/>
              </w:rPr>
              <w:t>2248.22</w:t>
            </w:r>
          </w:p>
        </w:tc>
        <w:tc>
          <w:tcPr>
            <w:tcW w:w="980" w:type="dxa"/>
            <w:tcBorders>
              <w:top w:val="nil"/>
              <w:left w:val="nil"/>
              <w:bottom w:val="nil"/>
              <w:right w:val="nil"/>
            </w:tcBorders>
            <w:shd w:val="clear" w:color="auto" w:fill="EDF1F9" w:themeFill="accent1" w:themeFillTint="19"/>
          </w:tcPr>
          <w:p w14:paraId="5EF124C1">
            <w:pPr>
              <w:rPr>
                <w:rFonts w:hint="default"/>
                <w:b w:val="0"/>
                <w:i w:val="0"/>
                <w:color w:val="000000"/>
                <w:vertAlign w:val="baseline"/>
                <w:lang w:val="en-US" w:eastAsia="zh-CN"/>
              </w:rPr>
            </w:pPr>
            <w:r>
              <w:rPr>
                <w:rFonts w:hint="eastAsia"/>
                <w:b w:val="0"/>
                <w:i w:val="0"/>
                <w:color w:val="000000"/>
                <w:vertAlign w:val="baseline"/>
                <w:lang w:val="en-US" w:eastAsia="zh-CN"/>
              </w:rPr>
              <w:t>693.54</w:t>
            </w:r>
          </w:p>
        </w:tc>
        <w:tc>
          <w:tcPr>
            <w:tcW w:w="908" w:type="dxa"/>
            <w:tcBorders>
              <w:top w:val="nil"/>
              <w:left w:val="nil"/>
              <w:bottom w:val="nil"/>
              <w:right w:val="nil"/>
            </w:tcBorders>
            <w:shd w:val="clear" w:color="auto" w:fill="EDF1F9" w:themeFill="accent1" w:themeFillTint="19"/>
          </w:tcPr>
          <w:p w14:paraId="72896B63">
            <w:pPr>
              <w:rPr>
                <w:rFonts w:hint="default"/>
                <w:b w:val="0"/>
                <w:i w:val="0"/>
                <w:color w:val="000000"/>
                <w:vertAlign w:val="baseline"/>
                <w:lang w:val="en-US" w:eastAsia="zh-CN"/>
              </w:rPr>
            </w:pPr>
            <w:r>
              <w:rPr>
                <w:rFonts w:hint="eastAsia"/>
                <w:b w:val="0"/>
                <w:i w:val="0"/>
                <w:color w:val="000000"/>
                <w:vertAlign w:val="baseline"/>
                <w:lang w:val="en-US" w:eastAsia="zh-CN"/>
              </w:rPr>
              <w:t>4989.05</w:t>
            </w:r>
          </w:p>
        </w:tc>
        <w:tc>
          <w:tcPr>
            <w:tcW w:w="802" w:type="dxa"/>
            <w:tcBorders>
              <w:top w:val="nil"/>
              <w:left w:val="nil"/>
              <w:bottom w:val="nil"/>
              <w:right w:val="nil"/>
            </w:tcBorders>
            <w:shd w:val="clear" w:color="auto" w:fill="EDF1F9" w:themeFill="accent1" w:themeFillTint="19"/>
          </w:tcPr>
          <w:p w14:paraId="7D9355A0">
            <w:pPr>
              <w:rPr>
                <w:rFonts w:hint="default"/>
                <w:b w:val="0"/>
                <w:i w:val="0"/>
                <w:color w:val="000000"/>
                <w:vertAlign w:val="baseline"/>
                <w:lang w:val="en-US" w:eastAsia="zh-CN"/>
              </w:rPr>
            </w:pPr>
            <w:r>
              <w:rPr>
                <w:rFonts w:hint="eastAsia"/>
                <w:b w:val="0"/>
                <w:i w:val="0"/>
                <w:color w:val="000000"/>
                <w:vertAlign w:val="baseline"/>
                <w:lang w:val="en-US" w:eastAsia="zh-CN"/>
              </w:rPr>
              <w:t>0.6471</w:t>
            </w:r>
          </w:p>
        </w:tc>
        <w:tc>
          <w:tcPr>
            <w:tcW w:w="845" w:type="dxa"/>
            <w:tcBorders>
              <w:top w:val="nil"/>
              <w:left w:val="nil"/>
              <w:bottom w:val="nil"/>
              <w:right w:val="nil"/>
            </w:tcBorders>
            <w:shd w:val="clear" w:color="auto" w:fill="EDF1F9" w:themeFill="accent1" w:themeFillTint="19"/>
          </w:tcPr>
          <w:p w14:paraId="67800BFB">
            <w:pPr>
              <w:rPr>
                <w:rFonts w:hint="default"/>
                <w:b w:val="0"/>
                <w:i w:val="0"/>
                <w:color w:val="000000"/>
                <w:vertAlign w:val="baseline"/>
                <w:lang w:val="en-US" w:eastAsia="zh-CN"/>
              </w:rPr>
            </w:pPr>
            <w:r>
              <w:rPr>
                <w:rFonts w:hint="eastAsia"/>
                <w:b w:val="0"/>
                <w:i w:val="0"/>
                <w:color w:val="000000"/>
                <w:vertAlign w:val="baseline"/>
                <w:lang w:val="en-US" w:eastAsia="zh-CN"/>
              </w:rPr>
              <w:t>11.23%</w:t>
            </w:r>
          </w:p>
        </w:tc>
      </w:tr>
      <w:tr w14:paraId="7D2C6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4" w:hRule="atLeast"/>
        </w:trPr>
        <w:tc>
          <w:tcPr>
            <w:tcW w:w="850" w:type="dxa"/>
            <w:tcBorders>
              <w:top w:val="nil"/>
              <w:left w:val="nil"/>
              <w:bottom w:val="nil"/>
              <w:right w:val="nil"/>
            </w:tcBorders>
            <w:shd w:val="clear" w:color="auto" w:fill="FFFFFF"/>
          </w:tcPr>
          <w:p w14:paraId="6BE9B2A7">
            <w:pPr>
              <w:rPr>
                <w:rFonts w:hint="default"/>
                <w:b w:val="0"/>
                <w:i w:val="0"/>
                <w:color w:val="000000"/>
                <w:vertAlign w:val="baseline"/>
                <w:lang w:val="en-US" w:eastAsia="zh-CN"/>
              </w:rPr>
            </w:pPr>
            <w:r>
              <w:rPr>
                <w:rFonts w:hint="eastAsia"/>
                <w:b w:val="0"/>
                <w:i w:val="0"/>
                <w:color w:val="000000"/>
                <w:vertAlign w:val="baseline"/>
                <w:lang w:val="en-US" w:eastAsia="zh-CN"/>
              </w:rPr>
              <w:t>C</w:t>
            </w:r>
          </w:p>
        </w:tc>
        <w:tc>
          <w:tcPr>
            <w:tcW w:w="1098" w:type="dxa"/>
            <w:tcBorders>
              <w:top w:val="nil"/>
              <w:left w:val="nil"/>
              <w:bottom w:val="nil"/>
              <w:right w:val="nil"/>
            </w:tcBorders>
            <w:shd w:val="clear" w:color="auto" w:fill="FFFFFF"/>
          </w:tcPr>
          <w:p w14:paraId="4619076F">
            <w:pPr>
              <w:rPr>
                <w:rFonts w:hint="default"/>
                <w:b w:val="0"/>
                <w:i w:val="0"/>
                <w:color w:val="000000"/>
                <w:vertAlign w:val="baseline"/>
                <w:lang w:val="en-US" w:eastAsia="zh-CN"/>
              </w:rPr>
            </w:pPr>
            <w:r>
              <w:rPr>
                <w:rFonts w:hint="eastAsia"/>
                <w:b w:val="0"/>
                <w:i w:val="0"/>
                <w:color w:val="000000"/>
                <w:vertAlign w:val="baseline"/>
                <w:lang w:val="en-US" w:eastAsia="zh-CN"/>
              </w:rPr>
              <w:t>134.21</w:t>
            </w:r>
          </w:p>
        </w:tc>
        <w:tc>
          <w:tcPr>
            <w:tcW w:w="862" w:type="dxa"/>
            <w:tcBorders>
              <w:top w:val="nil"/>
              <w:left w:val="nil"/>
              <w:bottom w:val="nil"/>
              <w:right w:val="nil"/>
            </w:tcBorders>
            <w:shd w:val="clear" w:color="auto" w:fill="FFFFFF"/>
          </w:tcPr>
          <w:p w14:paraId="541657C7">
            <w:pPr>
              <w:rPr>
                <w:rFonts w:hint="default"/>
                <w:b w:val="0"/>
                <w:i w:val="0"/>
                <w:color w:val="000000"/>
                <w:vertAlign w:val="baseline"/>
                <w:lang w:val="en-US" w:eastAsia="zh-CN"/>
              </w:rPr>
            </w:pPr>
            <w:r>
              <w:rPr>
                <w:rFonts w:hint="eastAsia"/>
                <w:b w:val="0"/>
                <w:i w:val="0"/>
                <w:color w:val="000000"/>
                <w:vertAlign w:val="baseline"/>
                <w:lang w:val="en-US" w:eastAsia="zh-CN"/>
              </w:rPr>
              <w:t>121.12</w:t>
            </w:r>
          </w:p>
        </w:tc>
        <w:tc>
          <w:tcPr>
            <w:tcW w:w="1017" w:type="dxa"/>
            <w:tcBorders>
              <w:top w:val="nil"/>
              <w:left w:val="nil"/>
              <w:bottom w:val="nil"/>
              <w:right w:val="nil"/>
            </w:tcBorders>
            <w:shd w:val="clear" w:color="auto" w:fill="FFFFFF"/>
          </w:tcPr>
          <w:p w14:paraId="207EBE72">
            <w:pPr>
              <w:rPr>
                <w:rFonts w:hint="default"/>
                <w:b w:val="0"/>
                <w:i w:val="0"/>
                <w:color w:val="000000"/>
                <w:vertAlign w:val="baseline"/>
                <w:lang w:val="en-US" w:eastAsia="zh-CN"/>
              </w:rPr>
            </w:pPr>
            <w:r>
              <w:rPr>
                <w:rFonts w:hint="eastAsia"/>
                <w:b w:val="0"/>
                <w:i w:val="0"/>
                <w:color w:val="000000"/>
                <w:vertAlign w:val="baseline"/>
                <w:lang w:val="en-US" w:eastAsia="zh-CN"/>
              </w:rPr>
              <w:t>2578.27</w:t>
            </w:r>
          </w:p>
        </w:tc>
        <w:tc>
          <w:tcPr>
            <w:tcW w:w="980" w:type="dxa"/>
            <w:tcBorders>
              <w:top w:val="nil"/>
              <w:left w:val="nil"/>
              <w:bottom w:val="nil"/>
              <w:right w:val="nil"/>
            </w:tcBorders>
            <w:shd w:val="clear" w:color="auto" w:fill="FFFFFF"/>
          </w:tcPr>
          <w:p w14:paraId="779F82B9">
            <w:pPr>
              <w:rPr>
                <w:rFonts w:hint="default"/>
                <w:b w:val="0"/>
                <w:i w:val="0"/>
                <w:color w:val="000000"/>
                <w:vertAlign w:val="baseline"/>
                <w:lang w:val="en-US" w:eastAsia="zh-CN"/>
              </w:rPr>
            </w:pPr>
            <w:r>
              <w:rPr>
                <w:rFonts w:hint="eastAsia"/>
                <w:b w:val="0"/>
                <w:i w:val="0"/>
                <w:color w:val="000000"/>
                <w:vertAlign w:val="baseline"/>
                <w:lang w:val="en-US" w:eastAsia="zh-CN"/>
              </w:rPr>
              <w:t>993.81</w:t>
            </w:r>
          </w:p>
        </w:tc>
        <w:tc>
          <w:tcPr>
            <w:tcW w:w="908" w:type="dxa"/>
            <w:tcBorders>
              <w:top w:val="nil"/>
              <w:left w:val="nil"/>
              <w:bottom w:val="nil"/>
              <w:right w:val="nil"/>
            </w:tcBorders>
            <w:shd w:val="clear" w:color="auto" w:fill="FFFFFF"/>
          </w:tcPr>
          <w:p w14:paraId="4482A903">
            <w:pPr>
              <w:rPr>
                <w:rFonts w:hint="default"/>
                <w:b w:val="0"/>
                <w:i w:val="0"/>
                <w:color w:val="000000"/>
                <w:vertAlign w:val="baseline"/>
                <w:lang w:val="en-US" w:eastAsia="zh-CN"/>
              </w:rPr>
            </w:pPr>
            <w:r>
              <w:rPr>
                <w:rFonts w:hint="eastAsia"/>
                <w:b w:val="0"/>
                <w:i w:val="0"/>
                <w:color w:val="000000"/>
                <w:vertAlign w:val="baseline"/>
                <w:lang w:val="en-US" w:eastAsia="zh-CN"/>
              </w:rPr>
              <w:t>4900.87</w:t>
            </w:r>
          </w:p>
        </w:tc>
        <w:tc>
          <w:tcPr>
            <w:tcW w:w="802" w:type="dxa"/>
            <w:tcBorders>
              <w:top w:val="nil"/>
              <w:left w:val="nil"/>
              <w:bottom w:val="nil"/>
              <w:right w:val="nil"/>
            </w:tcBorders>
            <w:shd w:val="clear" w:color="auto" w:fill="FFFFFF"/>
          </w:tcPr>
          <w:p w14:paraId="011C973C">
            <w:pPr>
              <w:rPr>
                <w:rFonts w:hint="default"/>
                <w:b w:val="0"/>
                <w:i w:val="0"/>
                <w:color w:val="000000"/>
                <w:vertAlign w:val="baseline"/>
                <w:lang w:val="en-US" w:eastAsia="zh-CN"/>
              </w:rPr>
            </w:pPr>
            <w:r>
              <w:rPr>
                <w:rFonts w:hint="eastAsia"/>
                <w:b w:val="0"/>
                <w:i w:val="0"/>
                <w:color w:val="000000"/>
                <w:vertAlign w:val="baseline"/>
                <w:lang w:val="en-US" w:eastAsia="zh-CN"/>
              </w:rPr>
              <w:t>0.6303</w:t>
            </w:r>
          </w:p>
        </w:tc>
        <w:tc>
          <w:tcPr>
            <w:tcW w:w="845" w:type="dxa"/>
            <w:tcBorders>
              <w:top w:val="nil"/>
              <w:left w:val="nil"/>
              <w:bottom w:val="nil"/>
              <w:right w:val="nil"/>
            </w:tcBorders>
            <w:shd w:val="clear" w:color="auto" w:fill="FFFFFF"/>
          </w:tcPr>
          <w:p w14:paraId="795D440E">
            <w:pPr>
              <w:rPr>
                <w:rFonts w:hint="default"/>
                <w:b w:val="0"/>
                <w:i w:val="0"/>
                <w:color w:val="000000"/>
                <w:vertAlign w:val="baseline"/>
                <w:lang w:val="en-US" w:eastAsia="zh-CN"/>
              </w:rPr>
            </w:pPr>
            <w:r>
              <w:rPr>
                <w:rFonts w:hint="eastAsia"/>
                <w:b w:val="0"/>
                <w:i w:val="0"/>
                <w:color w:val="000000"/>
                <w:vertAlign w:val="baseline"/>
                <w:lang w:val="en-US" w:eastAsia="zh-CN"/>
              </w:rPr>
              <w:t>16.02%</w:t>
            </w:r>
          </w:p>
        </w:tc>
      </w:tr>
    </w:tbl>
    <w:p w14:paraId="7F15F88F">
      <w:pPr>
        <w:tabs>
          <w:tab w:val="right" w:pos="8306"/>
        </w:tabs>
        <w:ind w:firstLine="3150" w:firstLineChars="1500"/>
        <w:rPr>
          <w:rFonts w:hint="eastAsia"/>
          <w:lang w:val="en-US" w:eastAsia="zh-CN"/>
        </w:rPr>
      </w:pPr>
      <w:r>
        <w:rPr>
          <w:rFonts w:hint="eastAsia"/>
          <w:lang w:val="en-US" w:eastAsia="zh-CN"/>
        </w:rPr>
        <w:t>图3.1.1</w:t>
      </w:r>
    </w:p>
    <w:p w14:paraId="0A94B05E">
      <w:pPr>
        <w:tabs>
          <w:tab w:val="right" w:pos="8306"/>
        </w:tabs>
        <w:rPr>
          <w:rFonts w:hint="default"/>
          <w:lang w:val="en-US" w:eastAsia="zh-CN"/>
        </w:rPr>
      </w:pPr>
      <w:r>
        <w:rPr>
          <w:rFonts w:hint="eastAsia"/>
          <w:lang w:val="en-US" w:eastAsia="zh-CN"/>
        </w:rPr>
        <w:t>三园区对比：</w:t>
      </w:r>
      <w:r>
        <w:rPr>
          <w:rFonts w:hint="eastAsia"/>
          <w:lang w:val="en-US" w:eastAsia="zh-CN"/>
        </w:rPr>
        <w:tab/>
      </w:r>
    </w:p>
    <w:p w14:paraId="37EFED14">
      <w:pPr>
        <w:rPr>
          <w:rFonts w:hint="eastAsia"/>
          <w:lang w:val="en-US" w:eastAsia="zh-CN"/>
        </w:rPr>
      </w:pPr>
      <w:r>
        <w:rPr>
          <w:rFonts w:hint="eastAsia"/>
          <w:lang w:val="en-US" w:eastAsia="zh-CN"/>
        </w:rPr>
        <w:drawing>
          <wp:inline distT="0" distB="0" distL="114300" distR="114300">
            <wp:extent cx="5256530" cy="2988310"/>
            <wp:effectExtent l="5080" t="4445" r="8890" b="17145"/>
            <wp:docPr id="12" name="图表 12" descr="7b0a202020202263686172745265734964223a20223530303733323735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36792A3">
      <w:pPr>
        <w:rPr>
          <w:rFonts w:hint="eastAsia"/>
          <w:lang w:val="en-US" w:eastAsia="zh-CN"/>
        </w:rPr>
      </w:pPr>
      <w:r>
        <w:rPr>
          <w:rFonts w:hint="eastAsia"/>
          <w:lang w:val="en-US" w:eastAsia="zh-CN"/>
        </w:rPr>
        <w:drawing>
          <wp:inline distT="0" distB="0" distL="114300" distR="114300">
            <wp:extent cx="5256530" cy="2988310"/>
            <wp:effectExtent l="5080" t="4445" r="8890" b="17145"/>
            <wp:docPr id="13" name="图表 13" descr="7b0a202020202263686172745265734964223a20223530303733323735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41A6F175">
      <w:pPr>
        <w:rPr>
          <w:rFonts w:hint="default"/>
          <w:lang w:val="en-US" w:eastAsia="zh-CN"/>
        </w:rPr>
      </w:pPr>
      <w:r>
        <w:rPr>
          <w:rFonts w:hint="eastAsia"/>
          <w:lang w:val="en-US" w:eastAsia="zh-CN"/>
        </w:rPr>
        <w:t xml:space="preserve">                                  图3.1.2</w:t>
      </w:r>
    </w:p>
    <w:p w14:paraId="1D8EE33F">
      <w:pPr>
        <w:rPr>
          <w:rFonts w:hint="eastAsia"/>
          <w:lang w:val="en-US" w:eastAsia="zh-CN"/>
        </w:rPr>
      </w:pPr>
    </w:p>
    <w:p w14:paraId="5FC9B5D2">
      <w:pPr>
        <w:rPr>
          <w:rStyle w:val="19"/>
          <w:rFonts w:hint="eastAsia"/>
          <w:lang w:val="en-US" w:eastAsia="zh-CN"/>
        </w:rPr>
      </w:pPr>
      <w:r>
        <w:rPr>
          <w:rStyle w:val="19"/>
          <w:rFonts w:hint="eastAsia"/>
          <w:lang w:val="en-US" w:eastAsia="zh-CN"/>
        </w:rPr>
        <w:drawing>
          <wp:inline distT="0" distB="0" distL="114300" distR="114300">
            <wp:extent cx="5270500" cy="1532890"/>
            <wp:effectExtent l="0" t="0" r="0" b="3810"/>
            <wp:docPr id="5" name="图片 5" descr="figure_20261004_214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ure_20261004_214514"/>
                    <pic:cNvPicPr>
                      <a:picLocks noChangeAspect="1"/>
                    </pic:cNvPicPr>
                  </pic:nvPicPr>
                  <pic:blipFill>
                    <a:blip r:embed="rId16"/>
                    <a:stretch>
                      <a:fillRect/>
                    </a:stretch>
                  </pic:blipFill>
                  <pic:spPr>
                    <a:xfrm>
                      <a:off x="0" y="0"/>
                      <a:ext cx="5270500" cy="1532890"/>
                    </a:xfrm>
                    <a:prstGeom prst="rect">
                      <a:avLst/>
                    </a:prstGeom>
                  </pic:spPr>
                </pic:pic>
              </a:graphicData>
            </a:graphic>
          </wp:inline>
        </w:drawing>
      </w:r>
    </w:p>
    <w:p w14:paraId="0DECD1A8">
      <w:pPr>
        <w:rPr>
          <w:rStyle w:val="19"/>
          <w:rFonts w:hint="default"/>
          <w:lang w:val="en-US" w:eastAsia="zh-CN"/>
        </w:rPr>
      </w:pPr>
      <w:r>
        <w:rPr>
          <w:rStyle w:val="19"/>
          <w:rFonts w:hint="eastAsia"/>
          <w:lang w:val="en-US" w:eastAsia="zh-CN"/>
        </w:rPr>
        <w:t xml:space="preserve">                                    </w:t>
      </w:r>
      <w:r>
        <w:rPr>
          <w:rFonts w:hint="eastAsia"/>
          <w:lang w:val="en-US" w:eastAsia="zh-CN"/>
        </w:rPr>
        <w:t>图3.1.3</w:t>
      </w:r>
    </w:p>
    <w:p w14:paraId="30E1580F">
      <w:pPr>
        <w:rPr>
          <w:rFonts w:hint="default"/>
          <w:lang w:val="en-US" w:eastAsia="zh-CN"/>
        </w:rPr>
      </w:pPr>
      <w:r>
        <w:rPr>
          <w:rStyle w:val="19"/>
          <w:rFonts w:hint="eastAsia"/>
          <w:lang w:val="en-US" w:eastAsia="zh-CN"/>
        </w:rPr>
        <w:t>数据分析：</w:t>
      </w:r>
      <w:r>
        <w:rPr>
          <w:rFonts w:hint="eastAsia"/>
          <w:lang w:val="en-US" w:eastAsia="zh-CN"/>
        </w:rPr>
        <w:t>由图表（3.1.2）分析可得，A园区总成本相较B，C配置储能后想下降最少，仅减少42.32元，证明A配置题给储能无明显优势，而B为配置储能后收益最大的园区，可考虑探索更优配置。</w:t>
      </w:r>
    </w:p>
    <w:p w14:paraId="524AB46C">
      <w:pPr>
        <w:rPr>
          <w:rFonts w:hint="eastAsia"/>
          <w:lang w:val="en-US" w:eastAsia="zh-CN"/>
        </w:rPr>
      </w:pPr>
    </w:p>
    <w:p w14:paraId="235B415C">
      <w:pPr>
        <w:rPr>
          <w:rFonts w:hint="eastAsia"/>
          <w:lang w:val="en-US" w:eastAsia="zh-CN"/>
        </w:rPr>
      </w:pPr>
    </w:p>
    <w:p w14:paraId="1ADEEE0E">
      <w:pPr>
        <w:pStyle w:val="6"/>
        <w:bidi w:val="0"/>
        <w:rPr>
          <w:rFonts w:hint="eastAsia"/>
          <w:lang w:val="en-US" w:eastAsia="zh-CN"/>
        </w:rPr>
      </w:pPr>
      <w:r>
        <w:rPr>
          <w:rFonts w:hint="eastAsia"/>
          <w:lang w:val="en-US" w:eastAsia="zh-CN"/>
        </w:rPr>
        <w:t>3.2配置储能后的日成本分析</w:t>
      </w:r>
    </w:p>
    <w:p w14:paraId="7BC028FE">
      <w:pPr>
        <w:ind w:firstLine="480" w:firstLineChars="200"/>
      </w:pPr>
      <w:r>
        <w:rPr>
          <w:rFonts w:hint="default"/>
          <w:sz w:val="24"/>
          <w:szCs w:val="24"/>
          <w:lang w:val="en-US" w:eastAsia="zh-CN"/>
        </w:rPr>
        <w:t>本节的成本测算思路参考了储能容量配置的经典研究框架 [1]。</w:t>
      </w:r>
      <w:r>
        <w:rPr>
          <w:rFonts w:hint="eastAsia" w:ascii="宋体" w:hAnsi="宋体" w:eastAsia="宋体" w:cs="宋体"/>
          <w:color w:val="000000"/>
          <w:spacing w:val="0"/>
          <w:position w:val="0"/>
          <w:sz w:val="24"/>
          <w:szCs w:val="24"/>
        </w:rPr>
        <w:t>假设该容量每天恰好完成一次完整循环（SOC 从10%充至90%再放回10%），则：</w:t>
      </w:r>
    </w:p>
    <w:p w14:paraId="79853AEE">
      <w:pPr>
        <w:pStyle w:val="11"/>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4"/>
          <w:szCs w:val="24"/>
        </w:rPr>
        <w:t>每日可放出的电量 =0.80 ×E ×η</w:t>
      </w:r>
      <w:r>
        <w:rPr>
          <w:rFonts w:hint="eastAsia" w:ascii="宋体" w:hAnsi="宋体" w:eastAsia="宋体" w:cs="宋体"/>
          <w:color w:val="000000"/>
          <w:spacing w:val="0"/>
          <w:position w:val="0"/>
          <w:sz w:val="24"/>
          <w:szCs w:val="24"/>
          <w:vertAlign w:val="subscript"/>
        </w:rPr>
        <w:t>d</w:t>
      </w:r>
      <w:r>
        <w:rPr>
          <w:rFonts w:hint="eastAsia" w:ascii="宋体" w:hAnsi="宋体" w:eastAsia="宋体" w:cs="宋体"/>
          <w:color w:val="000000"/>
          <w:spacing w:val="0"/>
          <w:position w:val="0"/>
          <w:sz w:val="24"/>
          <w:szCs w:val="24"/>
        </w:rPr>
        <w:t>（E 为额定容量）</w:t>
      </w:r>
      <w:bookmarkStart w:id="0" w:name="_GoBack"/>
      <w:bookmarkEnd w:id="0"/>
    </w:p>
    <w:p w14:paraId="04306FF7">
      <w:pPr>
        <w:pStyle w:val="11"/>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4"/>
          <w:szCs w:val="24"/>
        </w:rPr>
        <w:t>每日需充入的电量 =0.80 ×E /η</w:t>
      </w:r>
      <w:r>
        <w:rPr>
          <w:rFonts w:hint="eastAsia" w:ascii="宋体" w:hAnsi="宋体" w:eastAsia="宋体" w:cs="宋体"/>
          <w:color w:val="000000"/>
          <w:spacing w:val="0"/>
          <w:position w:val="0"/>
          <w:sz w:val="24"/>
          <w:szCs w:val="24"/>
          <w:vertAlign w:val="subscript"/>
        </w:rPr>
        <w:t>c</w:t>
      </w:r>
    </w:p>
    <w:p w14:paraId="3711C1ED">
      <w:pPr>
        <w:pStyle w:val="11"/>
        <w:keepNext w:val="0"/>
        <w:keepLines w:val="0"/>
        <w:widowControl/>
        <w:suppressLineNumbers w:val="0"/>
        <w:spacing w:line="240" w:lineRule="auto"/>
        <w:ind w:left="0" w:firstLine="0"/>
        <w:jc w:val="left"/>
        <w:textAlignment w:val="center"/>
        <w:rPr>
          <w:rFonts w:hint="eastAsia" w:eastAsia="宋体"/>
          <w:lang w:val="en-US" w:eastAsia="zh-CN"/>
        </w:rPr>
      </w:pPr>
      <w:r>
        <w:rPr>
          <w:rFonts w:hint="eastAsia" w:ascii="宋体" w:hAnsi="宋体" w:eastAsia="宋体" w:cs="宋体"/>
          <w:color w:val="000000"/>
          <w:spacing w:val="0"/>
          <w:position w:val="0"/>
          <w:sz w:val="24"/>
          <w:szCs w:val="24"/>
        </w:rPr>
        <w:t>每日购电节省 =0.80 ×E ×η</w:t>
      </w:r>
      <w:r>
        <w:rPr>
          <w:rFonts w:hint="eastAsia" w:ascii="宋体" w:hAnsi="宋体" w:eastAsia="宋体" w:cs="宋体"/>
          <w:color w:val="000000"/>
          <w:spacing w:val="0"/>
          <w:position w:val="0"/>
          <w:sz w:val="24"/>
          <w:szCs w:val="24"/>
          <w:vertAlign w:val="subscript"/>
        </w:rPr>
        <w:t>d</w:t>
      </w:r>
      <w:r>
        <w:rPr>
          <w:rFonts w:hint="eastAsia" w:ascii="宋体" w:hAnsi="宋体" w:eastAsia="宋体" w:cs="宋体"/>
          <w:color w:val="000000"/>
          <w:spacing w:val="0"/>
          <w:position w:val="0"/>
          <w:sz w:val="24"/>
          <w:szCs w:val="24"/>
        </w:rPr>
        <w:t xml:space="preserve"> ×1.0</w:t>
      </w:r>
    </w:p>
    <w:p w14:paraId="450053AD">
      <w:pPr>
        <w:pStyle w:val="11"/>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4"/>
          <w:szCs w:val="24"/>
        </w:rPr>
        <w:t>每日充电的绿电成本 =(0 .80 ×E /η</w:t>
      </w:r>
      <w:r>
        <w:rPr>
          <w:rFonts w:hint="eastAsia" w:ascii="宋体" w:hAnsi="宋体" w:eastAsia="宋体" w:cs="宋体"/>
          <w:color w:val="000000"/>
          <w:spacing w:val="0"/>
          <w:position w:val="0"/>
          <w:sz w:val="24"/>
          <w:szCs w:val="24"/>
          <w:vertAlign w:val="subscript"/>
        </w:rPr>
        <w:t>c</w:t>
      </w:r>
      <w:r>
        <w:rPr>
          <w:rFonts w:hint="eastAsia" w:ascii="宋体" w:hAnsi="宋体" w:eastAsia="宋体" w:cs="宋体"/>
          <w:color w:val="000000"/>
          <w:spacing w:val="0"/>
          <w:position w:val="0"/>
          <w:sz w:val="24"/>
          <w:szCs w:val="24"/>
        </w:rPr>
        <w:t>)×c</w:t>
      </w:r>
      <w:r>
        <w:rPr>
          <w:rFonts w:hint="eastAsia" w:ascii="宋体" w:hAnsi="宋体" w:eastAsia="宋体" w:cs="宋体"/>
          <w:color w:val="000000"/>
          <w:spacing w:val="0"/>
          <w:position w:val="0"/>
          <w:sz w:val="24"/>
          <w:szCs w:val="24"/>
          <w:vertAlign w:val="subscript"/>
        </w:rPr>
        <w:t>green</w:t>
      </w:r>
    </w:p>
    <w:p w14:paraId="5CFE3064">
      <w:pPr>
        <w:pStyle w:val="11"/>
        <w:keepNext w:val="0"/>
        <w:keepLines w:val="0"/>
        <w:widowControl/>
        <w:suppressLineNumbers w:val="0"/>
        <w:spacing w:line="240" w:lineRule="auto"/>
        <w:ind w:left="0" w:firstLine="0"/>
        <w:jc w:val="left"/>
        <w:textAlignment w:val="center"/>
        <w:rPr>
          <w:rFonts w:hint="eastAsia" w:eastAsia="宋体"/>
          <w:lang w:eastAsia="zh-CN"/>
        </w:rPr>
      </w:pPr>
      <w:r>
        <w:rPr>
          <w:rFonts w:hint="eastAsia" w:ascii="宋体" w:hAnsi="宋体" w:eastAsia="宋体" w:cs="宋体"/>
          <w:color w:val="000000"/>
          <w:spacing w:val="0"/>
          <w:position w:val="0"/>
          <w:sz w:val="24"/>
          <w:szCs w:val="24"/>
        </w:rPr>
        <w:t>每kWh 容量的日净收益=0.8 ×η</w:t>
      </w:r>
      <w:r>
        <w:rPr>
          <w:rFonts w:hint="eastAsia" w:ascii="宋体" w:hAnsi="宋体" w:eastAsia="宋体" w:cs="宋体"/>
          <w:color w:val="000000"/>
          <w:spacing w:val="0"/>
          <w:position w:val="0"/>
          <w:sz w:val="24"/>
          <w:szCs w:val="24"/>
          <w:vertAlign w:val="subscript"/>
        </w:rPr>
        <w:t>d</w:t>
      </w:r>
      <w:r>
        <w:rPr>
          <w:rFonts w:hint="eastAsia" w:ascii="宋体" w:hAnsi="宋体" w:eastAsia="宋体" w:cs="宋体"/>
          <w:color w:val="000000"/>
          <w:spacing w:val="0"/>
          <w:position w:val="0"/>
          <w:sz w:val="24"/>
          <w:szCs w:val="24"/>
        </w:rPr>
        <w:t xml:space="preserve"> ×1.0 </w:t>
      </w:r>
      <w:r>
        <w:rPr>
          <w:rFonts w:ascii="Arial" w:hAnsi="Arial" w:cs="Arial"/>
          <w:color w:val="000000"/>
          <w:spacing w:val="0"/>
          <w:position w:val="0"/>
          <w:sz w:val="24"/>
          <w:szCs w:val="24"/>
        </w:rPr>
        <w:t xml:space="preserve">− </w:t>
      </w:r>
      <w:r>
        <w:rPr>
          <w:rFonts w:hint="eastAsia" w:ascii="宋体" w:hAnsi="宋体" w:eastAsia="宋体" w:cs="宋体"/>
          <w:color w:val="000000"/>
          <w:spacing w:val="0"/>
          <w:position w:val="0"/>
          <w:sz w:val="24"/>
          <w:szCs w:val="24"/>
        </w:rPr>
        <w:t>(0.8 /η</w:t>
      </w:r>
      <w:r>
        <w:rPr>
          <w:rFonts w:hint="eastAsia" w:ascii="宋体" w:hAnsi="宋体" w:eastAsia="宋体" w:cs="宋体"/>
          <w:color w:val="000000"/>
          <w:spacing w:val="0"/>
          <w:position w:val="0"/>
          <w:sz w:val="24"/>
          <w:szCs w:val="24"/>
          <w:vertAlign w:val="subscript"/>
        </w:rPr>
        <w:t>c</w:t>
      </w:r>
      <w:r>
        <w:rPr>
          <w:rFonts w:hint="eastAsia" w:ascii="宋体" w:hAnsi="宋体" w:eastAsia="宋体" w:cs="宋体"/>
          <w:color w:val="000000"/>
          <w:spacing w:val="0"/>
          <w:position w:val="0"/>
          <w:sz w:val="24"/>
          <w:szCs w:val="24"/>
        </w:rPr>
        <w:t>)×c</w:t>
      </w:r>
      <w:r>
        <w:rPr>
          <w:rFonts w:hint="eastAsia" w:ascii="宋体" w:hAnsi="宋体" w:eastAsia="宋体" w:cs="宋体"/>
          <w:color w:val="000000"/>
          <w:spacing w:val="0"/>
          <w:position w:val="0"/>
          <w:sz w:val="24"/>
          <w:szCs w:val="24"/>
          <w:vertAlign w:val="subscript"/>
        </w:rPr>
        <w:t>green</w:t>
      </w:r>
      <w:r>
        <w:rPr>
          <w:rFonts w:hint="eastAsia" w:ascii="宋体" w:hAnsi="宋体" w:eastAsia="宋体" w:cs="宋体"/>
          <w:color w:val="000000"/>
          <w:spacing w:val="0"/>
          <w:position w:val="0"/>
          <w:sz w:val="24"/>
          <w:szCs w:val="24"/>
        </w:rPr>
        <w:t>每kWh 容量的日</w:t>
      </w:r>
      <w:r>
        <w:rPr>
          <w:rFonts w:hint="eastAsia" w:ascii="宋体" w:hAnsi="宋体" w:eastAsia="宋体" w:cs="宋体"/>
          <w:color w:val="000000"/>
          <w:spacing w:val="0"/>
          <w:position w:val="0"/>
          <w:sz w:val="24"/>
          <w:szCs w:val="24"/>
          <w:lang w:val="en-US" w:eastAsia="zh-CN"/>
        </w:rPr>
        <w:t>平摊额</w:t>
      </w:r>
      <w:r>
        <w:rPr>
          <w:rFonts w:hint="eastAsia" w:ascii="宋体" w:hAnsi="宋体" w:eastAsia="宋体" w:cs="宋体"/>
          <w:color w:val="000000"/>
          <w:spacing w:val="0"/>
          <w:position w:val="0"/>
          <w:sz w:val="24"/>
          <w:szCs w:val="24"/>
        </w:rPr>
        <w:t xml:space="preserve"> =1800 /10 /365 =0.4932 元/(kWh ·日)</w:t>
      </w:r>
      <w:r>
        <w:rPr>
          <w:rFonts w:hint="eastAsia" w:ascii="宋体" w:hAnsi="宋体" w:eastAsia="宋体" w:cs="宋体"/>
          <w:color w:val="000000"/>
          <w:spacing w:val="0"/>
          <w:position w:val="0"/>
          <w:sz w:val="24"/>
          <w:szCs w:val="24"/>
          <w:lang w:eastAsia="zh-CN"/>
        </w:rPr>
        <w:t>（</w:t>
      </w:r>
      <w:r>
        <w:rPr>
          <w:rFonts w:hint="eastAsia" w:ascii="宋体" w:hAnsi="宋体" w:eastAsia="宋体" w:cs="宋体"/>
          <w:color w:val="000000"/>
          <w:spacing w:val="0"/>
          <w:position w:val="0"/>
          <w:sz w:val="24"/>
          <w:szCs w:val="24"/>
          <w:lang w:val="en-US" w:eastAsia="zh-CN"/>
        </w:rPr>
        <w:t>假设该电池无其他损耗</w:t>
      </w:r>
      <w:r>
        <w:rPr>
          <w:rFonts w:hint="eastAsia" w:ascii="宋体" w:hAnsi="宋体" w:eastAsia="宋体" w:cs="宋体"/>
          <w:color w:val="000000"/>
          <w:spacing w:val="0"/>
          <w:position w:val="0"/>
          <w:sz w:val="24"/>
          <w:szCs w:val="24"/>
          <w:lang w:eastAsia="zh-CN"/>
        </w:rPr>
        <w:t>）</w:t>
      </w:r>
    </w:p>
    <w:p w14:paraId="0810B1A3">
      <w:pPr>
        <w:pStyle w:val="11"/>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4"/>
          <w:szCs w:val="24"/>
        </w:rPr>
        <w:t>代入本题</w:t>
      </w:r>
      <w:r>
        <w:rPr>
          <w:rFonts w:hint="eastAsia" w:ascii="宋体" w:hAnsi="宋体" w:eastAsia="宋体" w:cs="宋体"/>
          <w:color w:val="000000"/>
          <w:spacing w:val="0"/>
          <w:position w:val="0"/>
          <w:sz w:val="24"/>
          <w:szCs w:val="24"/>
          <w:lang w:val="en-US" w:eastAsia="zh-CN"/>
        </w:rPr>
        <w:t>数据</w:t>
      </w:r>
      <w:r>
        <w:rPr>
          <w:rFonts w:hint="eastAsia" w:ascii="宋体" w:hAnsi="宋体" w:eastAsia="宋体" w:cs="宋体"/>
          <w:color w:val="000000"/>
          <w:spacing w:val="0"/>
          <w:position w:val="0"/>
          <w:sz w:val="24"/>
          <w:szCs w:val="24"/>
        </w:rPr>
        <w:t>：</w:t>
      </w:r>
    </w:p>
    <w:p w14:paraId="036AAAB4">
      <w:pPr>
        <w:pStyle w:val="11"/>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4"/>
          <w:szCs w:val="24"/>
        </w:rPr>
        <w:t>-以</w:t>
      </w:r>
      <w:r>
        <w:rPr>
          <w:rFonts w:hint="eastAsia" w:ascii="宋体" w:hAnsi="宋体" w:eastAsia="宋体" w:cs="宋体"/>
          <w:b/>
          <w:bCs/>
          <w:color w:val="000000"/>
          <w:spacing w:val="0"/>
          <w:position w:val="0"/>
          <w:sz w:val="24"/>
          <w:szCs w:val="24"/>
        </w:rPr>
        <w:t>光伏</w:t>
      </w:r>
      <w:r>
        <w:rPr>
          <w:rFonts w:hint="eastAsia" w:ascii="宋体" w:hAnsi="宋体" w:eastAsia="宋体" w:cs="宋体"/>
          <w:color w:val="000000"/>
          <w:spacing w:val="0"/>
          <w:position w:val="0"/>
          <w:sz w:val="24"/>
          <w:szCs w:val="24"/>
        </w:rPr>
        <w:t xml:space="preserve">（0 .4 元/kWh）充电：0.8 ×0.95 ×1.0 </w:t>
      </w:r>
      <w:r>
        <w:rPr>
          <w:rFonts w:hint="default" w:ascii="Arial" w:hAnsi="Arial" w:cs="Arial"/>
          <w:color w:val="000000"/>
          <w:spacing w:val="0"/>
          <w:position w:val="0"/>
          <w:sz w:val="24"/>
          <w:szCs w:val="24"/>
        </w:rPr>
        <w:t xml:space="preserve">− </w:t>
      </w:r>
      <w:r>
        <w:rPr>
          <w:rFonts w:hint="eastAsia" w:ascii="宋体" w:hAnsi="宋体" w:eastAsia="宋体" w:cs="宋体"/>
          <w:color w:val="000000"/>
          <w:spacing w:val="0"/>
          <w:position w:val="0"/>
          <w:sz w:val="24"/>
          <w:szCs w:val="24"/>
        </w:rPr>
        <w:t>(0 .8/0 .95)×</w:t>
      </w:r>
    </w:p>
    <w:p w14:paraId="07FF55A2">
      <w:pPr>
        <w:pStyle w:val="11"/>
        <w:keepNext w:val="0"/>
        <w:keepLines w:val="0"/>
        <w:widowControl/>
        <w:suppressLineNumbers w:val="0"/>
        <w:spacing w:before="0" w:beforeAutospacing="0" w:after="0" w:afterAutospacing="0" w:line="240" w:lineRule="auto"/>
        <w:ind w:left="0" w:firstLine="0"/>
        <w:contextualSpacing/>
        <w:jc w:val="left"/>
      </w:pPr>
      <w:r>
        <w:rPr>
          <w:rFonts w:hint="eastAsia" w:ascii="宋体" w:hAnsi="宋体" w:eastAsia="宋体" w:cs="宋体"/>
          <w:color w:val="000000"/>
          <w:spacing w:val="0"/>
          <w:position w:val="0"/>
          <w:sz w:val="24"/>
          <w:szCs w:val="24"/>
        </w:rPr>
        <w:t xml:space="preserve">0.4 =0.76 </w:t>
      </w:r>
      <w:r>
        <w:rPr>
          <w:rFonts w:hint="default" w:ascii="Arial" w:hAnsi="Arial" w:cs="Arial"/>
          <w:color w:val="000000"/>
          <w:spacing w:val="0"/>
          <w:position w:val="0"/>
          <w:sz w:val="24"/>
          <w:szCs w:val="24"/>
        </w:rPr>
        <w:t xml:space="preserve">− </w:t>
      </w:r>
      <w:r>
        <w:rPr>
          <w:rFonts w:hint="eastAsia" w:ascii="宋体" w:hAnsi="宋体" w:eastAsia="宋体" w:cs="宋体"/>
          <w:color w:val="000000"/>
          <w:spacing w:val="0"/>
          <w:position w:val="0"/>
          <w:sz w:val="24"/>
          <w:szCs w:val="24"/>
        </w:rPr>
        <w:t>0.3368 =</w:t>
      </w:r>
      <w:r>
        <w:rPr>
          <w:rFonts w:hint="eastAsia" w:ascii="宋体" w:hAnsi="宋体" w:eastAsia="宋体" w:cs="宋体"/>
          <w:b/>
          <w:bCs/>
          <w:color w:val="000000"/>
          <w:spacing w:val="0"/>
          <w:position w:val="0"/>
          <w:sz w:val="24"/>
          <w:szCs w:val="24"/>
        </w:rPr>
        <w:t>0.4232 元/(kWh ·日)</w:t>
      </w:r>
      <w:r>
        <w:rPr>
          <w:rFonts w:hint="eastAsia" w:ascii="宋体" w:hAnsi="宋体" w:eastAsia="宋体" w:cs="宋体"/>
          <w:color w:val="000000"/>
          <w:spacing w:val="0"/>
          <w:position w:val="0"/>
          <w:sz w:val="24"/>
          <w:szCs w:val="24"/>
        </w:rPr>
        <w:t>-以</w:t>
      </w:r>
      <w:r>
        <w:rPr>
          <w:rFonts w:hint="eastAsia" w:ascii="宋体" w:hAnsi="宋体" w:eastAsia="宋体" w:cs="宋体"/>
          <w:b/>
          <w:bCs/>
          <w:color w:val="000000"/>
          <w:spacing w:val="0"/>
          <w:position w:val="0"/>
          <w:sz w:val="24"/>
          <w:szCs w:val="24"/>
        </w:rPr>
        <w:t>风电</w:t>
      </w:r>
      <w:r>
        <w:rPr>
          <w:rFonts w:hint="eastAsia" w:ascii="宋体" w:hAnsi="宋体" w:eastAsia="宋体" w:cs="宋体"/>
          <w:color w:val="000000"/>
          <w:spacing w:val="0"/>
          <w:position w:val="0"/>
          <w:sz w:val="24"/>
          <w:szCs w:val="24"/>
        </w:rPr>
        <w:t>（0 .5 元/kWh）充电：</w:t>
      </w:r>
    </w:p>
    <w:p w14:paraId="11267F4B">
      <w:pPr>
        <w:pStyle w:val="11"/>
        <w:keepNext w:val="0"/>
        <w:keepLines w:val="0"/>
        <w:widowControl/>
        <w:suppressLineNumbers w:val="0"/>
        <w:spacing w:before="0" w:beforeAutospacing="0" w:after="0" w:afterAutospacing="0" w:line="240" w:lineRule="auto"/>
        <w:ind w:left="0" w:firstLine="0"/>
        <w:contextualSpacing/>
        <w:jc w:val="left"/>
      </w:pPr>
      <w:r>
        <w:rPr>
          <w:rFonts w:hint="eastAsia" w:ascii="宋体" w:hAnsi="宋体" w:eastAsia="宋体" w:cs="宋体"/>
          <w:color w:val="000000"/>
          <w:spacing w:val="0"/>
          <w:position w:val="0"/>
          <w:sz w:val="24"/>
          <w:szCs w:val="24"/>
        </w:rPr>
        <w:t xml:space="preserve">0.76 </w:t>
      </w:r>
      <w:r>
        <w:rPr>
          <w:rFonts w:hint="default" w:ascii="Arial" w:hAnsi="Arial" w:cs="Arial"/>
          <w:color w:val="000000"/>
          <w:spacing w:val="0"/>
          <w:position w:val="0"/>
          <w:sz w:val="24"/>
          <w:szCs w:val="24"/>
        </w:rPr>
        <w:t xml:space="preserve">− </w:t>
      </w:r>
      <w:r>
        <w:rPr>
          <w:rFonts w:hint="eastAsia" w:ascii="宋体" w:hAnsi="宋体" w:eastAsia="宋体" w:cs="宋体"/>
          <w:color w:val="000000"/>
          <w:spacing w:val="0"/>
          <w:position w:val="0"/>
          <w:sz w:val="24"/>
          <w:szCs w:val="24"/>
        </w:rPr>
        <w:t>0.4211 =</w:t>
      </w:r>
      <w:r>
        <w:rPr>
          <w:rFonts w:hint="eastAsia" w:ascii="宋体" w:hAnsi="宋体" w:eastAsia="宋体" w:cs="宋体"/>
          <w:b/>
          <w:bCs/>
          <w:color w:val="000000"/>
          <w:spacing w:val="0"/>
          <w:position w:val="0"/>
          <w:sz w:val="24"/>
          <w:szCs w:val="24"/>
        </w:rPr>
        <w:t>0.3389 元/(kWh ·日)</w:t>
      </w:r>
    </w:p>
    <w:p w14:paraId="3748C75B">
      <w:pPr>
        <w:pStyle w:val="11"/>
        <w:keepNext w:val="0"/>
        <w:keepLines w:val="0"/>
        <w:widowControl/>
        <w:suppressLineNumbers w:val="0"/>
        <w:spacing w:line="240" w:lineRule="auto"/>
        <w:ind w:left="0" w:firstLine="0"/>
        <w:jc w:val="left"/>
        <w:textAlignment w:val="center"/>
      </w:pPr>
      <w:r>
        <w:rPr>
          <w:rFonts w:hint="eastAsia" w:ascii="宋体" w:hAnsi="宋体" w:eastAsia="宋体" w:cs="宋体"/>
          <w:color w:val="000000"/>
          <w:spacing w:val="0"/>
          <w:position w:val="0"/>
          <w:sz w:val="24"/>
          <w:szCs w:val="24"/>
        </w:rPr>
        <w:t>两种情形均</w:t>
      </w:r>
      <w:r>
        <w:rPr>
          <w:rFonts w:hint="eastAsia" w:ascii="宋体" w:hAnsi="宋体" w:eastAsia="宋体" w:cs="宋体"/>
          <w:b/>
          <w:bCs/>
          <w:color w:val="000000"/>
          <w:spacing w:val="0"/>
          <w:position w:val="0"/>
          <w:sz w:val="24"/>
          <w:szCs w:val="24"/>
        </w:rPr>
        <w:t>小于</w:t>
      </w:r>
      <w:r>
        <w:rPr>
          <w:rFonts w:hint="eastAsia" w:ascii="宋体" w:hAnsi="宋体" w:eastAsia="宋体" w:cs="宋体"/>
          <w:color w:val="000000"/>
          <w:spacing w:val="0"/>
          <w:position w:val="0"/>
          <w:sz w:val="24"/>
          <w:szCs w:val="24"/>
        </w:rPr>
        <w:t>日</w:t>
      </w:r>
      <w:r>
        <w:rPr>
          <w:rFonts w:hint="eastAsia" w:ascii="宋体" w:hAnsi="宋体" w:eastAsia="宋体" w:cs="宋体"/>
          <w:color w:val="000000"/>
          <w:spacing w:val="0"/>
          <w:position w:val="0"/>
          <w:sz w:val="24"/>
          <w:szCs w:val="24"/>
          <w:lang w:val="en-US" w:eastAsia="zh-CN"/>
        </w:rPr>
        <w:t>平摊额</w:t>
      </w:r>
      <w:r>
        <w:rPr>
          <w:rFonts w:hint="eastAsia" w:ascii="宋体" w:hAnsi="宋体" w:eastAsia="宋体" w:cs="宋体"/>
          <w:color w:val="000000"/>
          <w:spacing w:val="0"/>
          <w:position w:val="0"/>
          <w:sz w:val="24"/>
          <w:szCs w:val="24"/>
        </w:rPr>
        <w:t>0.4932 元/(kWh ·日)。由此得到本文的核心判据：</w:t>
      </w:r>
    </w:p>
    <w:p w14:paraId="71B0BE78">
      <w:pPr>
        <w:pStyle w:val="11"/>
        <w:keepNext w:val="0"/>
        <w:keepLines w:val="0"/>
        <w:widowControl/>
        <w:suppressLineNumbers w:val="0"/>
        <w:spacing w:line="240" w:lineRule="auto"/>
        <w:ind w:left="0" w:firstLine="488"/>
        <w:jc w:val="left"/>
        <w:textAlignment w:val="center"/>
      </w:pPr>
      <w:r>
        <w:rPr>
          <w:rFonts w:hint="eastAsia" w:ascii="宋体" w:hAnsi="宋体" w:eastAsia="宋体" w:cs="宋体"/>
          <w:color w:val="000000"/>
          <w:spacing w:val="0"/>
          <w:position w:val="0"/>
          <w:sz w:val="24"/>
          <w:szCs w:val="24"/>
        </w:rPr>
        <w:t>&gt;</w:t>
      </w:r>
      <w:r>
        <w:rPr>
          <w:rFonts w:hint="eastAsia" w:ascii="宋体" w:hAnsi="宋体" w:eastAsia="宋体" w:cs="宋体"/>
          <w:b/>
          <w:bCs/>
          <w:color w:val="000000"/>
          <w:spacing w:val="0"/>
          <w:position w:val="0"/>
          <w:sz w:val="24"/>
          <w:szCs w:val="24"/>
        </w:rPr>
        <w:t>在单一购电电价1.0 元/kWh、禁止售电的条件下，储能若一天内只能完成一次完整循环，则无论容量多大都必然亏损。只有当日循环次数k 满足 k ×0.4232 ≥0.4932（光伏充电）</w:t>
      </w:r>
      <w:r>
        <w:rPr>
          <w:rFonts w:hint="eastAsia" w:ascii="宋体" w:hAnsi="宋体" w:eastAsia="宋体" w:cs="宋体"/>
          <w:b/>
          <w:bCs/>
          <w:color w:val="000000"/>
          <w:spacing w:val="0"/>
          <w:position w:val="0"/>
          <w:sz w:val="24"/>
          <w:szCs w:val="24"/>
          <w:lang w:eastAsia="zh-CN"/>
        </w:rPr>
        <w:t>，</w:t>
      </w:r>
      <w:r>
        <w:rPr>
          <w:rFonts w:hint="eastAsia" w:ascii="宋体" w:hAnsi="宋体" w:eastAsia="宋体" w:cs="宋体"/>
          <w:b/>
          <w:bCs/>
          <w:color w:val="000000"/>
          <w:spacing w:val="0"/>
          <w:position w:val="0"/>
          <w:sz w:val="24"/>
          <w:szCs w:val="24"/>
          <w:lang w:val="en-US" w:eastAsia="zh-CN"/>
        </w:rPr>
        <w:t>解得</w:t>
      </w:r>
      <w:r>
        <w:rPr>
          <w:rFonts w:hint="eastAsia" w:ascii="宋体" w:hAnsi="宋体" w:eastAsia="宋体" w:cs="宋体"/>
          <w:b/>
          <w:bCs/>
          <w:color w:val="000000"/>
          <w:spacing w:val="0"/>
          <w:position w:val="0"/>
          <w:sz w:val="24"/>
          <w:szCs w:val="24"/>
        </w:rPr>
        <w:t>k ≥1.17，或k ×0.3389 ≥</w:t>
      </w:r>
      <w:r>
        <w:rPr>
          <w:rFonts w:hint="eastAsia" w:ascii="宋体" w:hAnsi="宋体" w:eastAsia="宋体" w:cs="宋体"/>
          <w:b/>
          <w:bCs/>
          <w:color w:val="000000"/>
          <w:spacing w:val="0"/>
          <w:kern w:val="0"/>
          <w:position w:val="0"/>
          <w:sz w:val="24"/>
          <w:szCs w:val="24"/>
          <w:lang w:val="en-US" w:eastAsia="zh-CN" w:bidi="ar"/>
        </w:rPr>
        <w:t>0.4932（风电充电）即k ≥1.46 时，配置储能才可能盈利。</w:t>
      </w:r>
      <w:r>
        <w:rPr>
          <w:rFonts w:ascii="宋体" w:hAnsi="宋体" w:eastAsia="宋体" w:cs="宋体"/>
          <w:kern w:val="0"/>
          <w:sz w:val="24"/>
          <w:szCs w:val="24"/>
          <w:lang w:val="en-US" w:eastAsia="zh-CN" w:bidi="ar"/>
        </w:rPr>
        <w:t xml:space="preserve"> </w:t>
      </w:r>
    </w:p>
    <w:p w14:paraId="22F53F62">
      <w:pPr>
        <w:rPr>
          <w:rFonts w:hint="eastAsia"/>
          <w:lang w:val="en-US" w:eastAsia="zh-CN"/>
        </w:rPr>
      </w:pPr>
    </w:p>
    <w:p w14:paraId="4101DEDE">
      <w:pPr>
        <w:pStyle w:val="6"/>
        <w:bidi w:val="0"/>
        <w:rPr>
          <w:rFonts w:hint="eastAsia"/>
          <w:lang w:val="en-US" w:eastAsia="zh-CN"/>
        </w:rPr>
      </w:pPr>
      <w:r>
        <w:rPr>
          <w:rFonts w:hint="eastAsia"/>
          <w:lang w:val="en-US" w:eastAsia="zh-CN"/>
        </w:rPr>
        <w:t>3.3A B C三者优化差异小结</w:t>
      </w:r>
    </w:p>
    <w:p w14:paraId="6C09C0B2">
      <w:pPr>
        <w:rPr>
          <w:rFonts w:hint="default"/>
          <w:lang w:val="en-US" w:eastAsia="zh-CN"/>
        </w:rPr>
      </w:pPr>
      <w:r>
        <w:rPr>
          <w:rFonts w:hint="eastAsia"/>
          <w:lang w:val="en-US" w:eastAsia="zh-CN"/>
        </w:rPr>
        <w:t>综合上述分析，50kW/100KWh方案在三个园区均能降低购电量与平均购电成本，但改善程度差异显著；A园区因光伏盈余集中，日循环次数不足，配置该储能后年化亏损；B，C园区则能获得正收益。具体原因见第四章。</w:t>
      </w:r>
    </w:p>
    <w:p w14:paraId="633AE76C">
      <w:pPr>
        <w:rPr>
          <w:rStyle w:val="15"/>
          <w:rFonts w:hint="eastAsia"/>
          <w:lang w:val="en-US" w:eastAsia="zh-CN"/>
        </w:rPr>
      </w:pPr>
    </w:p>
    <w:p w14:paraId="015CE622">
      <w:pPr>
        <w:pStyle w:val="5"/>
        <w:bidi w:val="0"/>
        <w:rPr>
          <w:rFonts w:hint="eastAsia"/>
          <w:lang w:val="en-US" w:eastAsia="zh-CN"/>
        </w:rPr>
      </w:pPr>
      <w:r>
        <w:rPr>
          <w:rFonts w:hint="eastAsia"/>
          <w:lang w:val="en-US" w:eastAsia="zh-CN"/>
        </w:rPr>
        <w:t>4结果分析</w:t>
      </w:r>
    </w:p>
    <w:p w14:paraId="183F3702">
      <w:pPr>
        <w:rPr>
          <w:rFonts w:hint="eastAsia"/>
          <w:lang w:val="en-US" w:eastAsia="zh-CN"/>
        </w:rPr>
      </w:pPr>
      <w:r>
        <w:rPr>
          <w:rFonts w:hint="eastAsia"/>
          <w:sz w:val="24"/>
          <w:szCs w:val="24"/>
          <w:lang w:val="en-US" w:eastAsia="zh-CN"/>
        </w:rPr>
        <w:t>为回答3.3提出的问题，本节按园区分别给出优化结果与原因分析</w:t>
      </w:r>
    </w:p>
    <w:p w14:paraId="1ED815D5">
      <w:pPr>
        <w:pStyle w:val="11"/>
        <w:keepNext w:val="0"/>
        <w:keepLines w:val="0"/>
        <w:widowControl/>
        <w:suppressLineNumbers w:val="0"/>
        <w:spacing w:line="240" w:lineRule="auto"/>
        <w:ind w:left="0" w:firstLine="0"/>
        <w:jc w:val="left"/>
        <w:textAlignment w:val="center"/>
        <w:rPr>
          <w:rFonts w:hint="eastAsia" w:eastAsia="宋体"/>
          <w:lang w:val="en-US" w:eastAsia="zh-CN"/>
        </w:rPr>
      </w:pPr>
      <w:r>
        <w:rPr>
          <w:rFonts w:hint="eastAsia" w:ascii="宋体" w:hAnsi="宋体" w:eastAsia="宋体" w:cs="宋体"/>
          <w:b/>
          <w:bCs/>
          <w:color w:val="000000"/>
          <w:spacing w:val="0"/>
          <w:position w:val="0"/>
          <w:sz w:val="24"/>
          <w:szCs w:val="24"/>
        </w:rPr>
        <w:t>园区A：50 kW/100 kWh 明显不合</w:t>
      </w:r>
      <w:r>
        <w:rPr>
          <w:rFonts w:hint="eastAsia" w:ascii="宋体" w:hAnsi="宋体" w:eastAsia="宋体" w:cs="宋体"/>
          <w:b/>
          <w:bCs/>
          <w:color w:val="000000"/>
          <w:spacing w:val="0"/>
          <w:position w:val="0"/>
          <w:sz w:val="24"/>
          <w:szCs w:val="24"/>
          <w:lang w:val="en-US" w:eastAsia="zh-CN"/>
        </w:rPr>
        <w:t>理。</w:t>
      </w:r>
    </w:p>
    <w:p w14:paraId="59E53B17">
      <w:pPr>
        <w:rPr>
          <w:rFonts w:hint="default"/>
          <w:lang w:val="en-US" w:eastAsia="zh-CN"/>
        </w:rPr>
      </w:pPr>
      <w:r>
        <w:rPr>
          <w:rFonts w:hint="eastAsia" w:ascii="宋体" w:hAnsi="宋体" w:eastAsia="宋体" w:cs="宋体"/>
          <w:color w:val="000000"/>
          <w:spacing w:val="0"/>
          <w:position w:val="0"/>
          <w:sz w:val="24"/>
          <w:szCs w:val="24"/>
        </w:rPr>
        <w:t>配置50 kW/100 kWh 使园区A 的年化总成本从2 220 979 元升至2 227534 元，</w:t>
      </w:r>
      <w:r>
        <w:rPr>
          <w:rFonts w:hint="eastAsia" w:ascii="宋体" w:hAnsi="宋体" w:eastAsia="宋体" w:cs="宋体"/>
          <w:b/>
          <w:bCs/>
          <w:color w:val="000000"/>
          <w:spacing w:val="0"/>
          <w:position w:val="0"/>
          <w:sz w:val="24"/>
          <w:szCs w:val="24"/>
        </w:rPr>
        <w:t>年亏损6 554.7 元</w:t>
      </w:r>
      <w:r>
        <w:rPr>
          <w:rFonts w:hint="eastAsia" w:ascii="宋体" w:hAnsi="宋体" w:eastAsia="宋体" w:cs="宋体"/>
          <w:color w:val="000000"/>
          <w:spacing w:val="0"/>
          <w:position w:val="0"/>
          <w:sz w:val="24"/>
          <w:szCs w:val="24"/>
        </w:rPr>
        <w:t>，10 年寿命期内累计多支出约6.55 万元。</w:t>
      </w:r>
    </w:p>
    <w:p w14:paraId="01E5D8F4">
      <w:pPr>
        <w:pStyle w:val="11"/>
        <w:keepNext w:val="0"/>
        <w:keepLines w:val="0"/>
        <w:widowControl/>
        <w:suppressLineNumbers w:val="0"/>
        <w:spacing w:line="240" w:lineRule="auto"/>
        <w:ind w:firstLine="240" w:firstLineChars="100"/>
        <w:jc w:val="left"/>
        <w:textAlignment w:val="center"/>
        <w:rPr>
          <w:rFonts w:hint="eastAsia" w:ascii="宋体" w:hAnsi="宋体" w:eastAsia="宋体" w:cs="宋体"/>
          <w:color w:val="000000"/>
          <w:spacing w:val="0"/>
          <w:position w:val="0"/>
          <w:sz w:val="24"/>
          <w:szCs w:val="24"/>
        </w:rPr>
      </w:pPr>
      <w:r>
        <w:rPr>
          <w:rFonts w:hint="eastAsia" w:ascii="宋体" w:hAnsi="宋体" w:eastAsia="宋体" w:cs="宋体"/>
          <w:color w:val="000000"/>
          <w:spacing w:val="0"/>
          <w:position w:val="0"/>
          <w:sz w:val="24"/>
          <w:szCs w:val="24"/>
        </w:rPr>
        <w:t xml:space="preserve">原因在于：园区A 的光伏盈余集中连片地出现在午间t =9–14 </w:t>
      </w:r>
      <w:r>
        <w:rPr>
          <w:rFonts w:hint="eastAsia" w:ascii="宋体" w:hAnsi="宋体" w:eastAsia="宋体" w:cs="宋体"/>
          <w:color w:val="000000"/>
          <w:spacing w:val="0"/>
          <w:position w:val="0"/>
          <w:sz w:val="24"/>
          <w:szCs w:val="24"/>
          <w:lang w:eastAsia="zh-CN"/>
        </w:rPr>
        <w:t>，</w:t>
      </w:r>
      <w:r>
        <w:rPr>
          <w:rFonts w:hint="eastAsia" w:ascii="宋体" w:hAnsi="宋体" w:eastAsia="宋体" w:cs="宋体"/>
          <w:color w:val="000000"/>
          <w:spacing w:val="0"/>
          <w:position w:val="0"/>
          <w:sz w:val="24"/>
          <w:szCs w:val="24"/>
        </w:rPr>
        <w:t>共6 个小时，储能一天内只能完成一次完整循环；以光伏（0 .4 元/kWh）充电的单循环收益不足以覆盖容量折旧，因此</w:t>
      </w:r>
      <w:r>
        <w:rPr>
          <w:rFonts w:hint="eastAsia" w:ascii="宋体" w:hAnsi="宋体" w:eastAsia="宋体" w:cs="宋体"/>
          <w:b/>
          <w:bCs/>
          <w:color w:val="000000"/>
          <w:spacing w:val="0"/>
          <w:position w:val="0"/>
          <w:sz w:val="24"/>
          <w:szCs w:val="24"/>
        </w:rPr>
        <w:t>任何</w:t>
      </w:r>
      <w:r>
        <w:rPr>
          <w:rFonts w:hint="eastAsia" w:ascii="宋体" w:hAnsi="宋体" w:eastAsia="宋体" w:cs="宋体"/>
          <w:color w:val="000000"/>
          <w:spacing w:val="0"/>
          <w:position w:val="0"/>
          <w:sz w:val="24"/>
          <w:szCs w:val="24"/>
        </w:rPr>
        <w:t>非零配置都会亏损。意味着园区A 应把资金投向其他方向（如扩大光伏装机），而非配置储能。</w:t>
      </w:r>
    </w:p>
    <w:p w14:paraId="4B9C0FB0">
      <w:pPr>
        <w:pStyle w:val="11"/>
        <w:keepNext w:val="0"/>
        <w:keepLines w:val="0"/>
        <w:widowControl/>
        <w:suppressLineNumbers w:val="0"/>
        <w:spacing w:line="240" w:lineRule="auto"/>
        <w:ind w:firstLine="150" w:firstLineChars="100"/>
        <w:jc w:val="left"/>
        <w:textAlignment w:val="center"/>
        <w:rPr>
          <w:rFonts w:hint="default" w:ascii="宋体" w:hAnsi="宋体" w:eastAsia="宋体" w:cs="宋体"/>
          <w:color w:val="000000"/>
          <w:spacing w:val="0"/>
          <w:position w:val="0"/>
          <w:sz w:val="15"/>
          <w:szCs w:val="15"/>
          <w:lang w:val="en-US" w:eastAsia="zh-CN"/>
        </w:rPr>
      </w:pPr>
      <w:r>
        <w:rPr>
          <w:rFonts w:hint="eastAsia" w:ascii="宋体" w:hAnsi="宋体" w:eastAsia="宋体" w:cs="宋体"/>
          <w:color w:val="000000"/>
          <w:spacing w:val="0"/>
          <w:position w:val="0"/>
          <w:sz w:val="15"/>
          <w:szCs w:val="15"/>
          <w:lang w:val="en-US" w:eastAsia="zh-CN"/>
        </w:rPr>
        <w:t>下（4.1.1）为A园区的最优运行策略时一日内各时刻逐时功率和储能荷电状态示意图</w:t>
      </w:r>
    </w:p>
    <w:p w14:paraId="2447E59D">
      <w:pPr>
        <w:pStyle w:val="11"/>
        <w:keepNext w:val="0"/>
        <w:keepLines w:val="0"/>
        <w:widowControl/>
        <w:suppressLineNumbers w:val="0"/>
        <w:spacing w:line="240" w:lineRule="auto"/>
        <w:ind w:firstLine="240" w:firstLineChars="100"/>
        <w:jc w:val="left"/>
        <w:textAlignment w:val="center"/>
        <w:rPr>
          <w:rFonts w:hint="eastAsia" w:ascii="宋体" w:hAnsi="宋体" w:eastAsia="宋体" w:cs="宋体"/>
          <w:color w:val="000000"/>
          <w:spacing w:val="0"/>
          <w:position w:val="0"/>
          <w:sz w:val="24"/>
          <w:szCs w:val="24"/>
        </w:rPr>
      </w:pPr>
      <w:r>
        <w:rPr>
          <w:rFonts w:hint="eastAsia" w:ascii="宋体" w:hAnsi="宋体" w:eastAsia="宋体" w:cs="宋体"/>
          <w:color w:val="000000"/>
          <w:spacing w:val="0"/>
          <w:position w:val="0"/>
          <w:sz w:val="24"/>
          <w:szCs w:val="24"/>
        </w:rPr>
        <w:drawing>
          <wp:inline distT="0" distB="0" distL="114300" distR="114300">
            <wp:extent cx="5270500" cy="1532890"/>
            <wp:effectExtent l="0" t="0" r="0" b="3810"/>
            <wp:docPr id="14" name="图片 14" descr="figure_20261002_231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igure_20261002_231146"/>
                    <pic:cNvPicPr>
                      <a:picLocks noChangeAspect="1"/>
                    </pic:cNvPicPr>
                  </pic:nvPicPr>
                  <pic:blipFill>
                    <a:blip r:embed="rId17"/>
                    <a:stretch>
                      <a:fillRect/>
                    </a:stretch>
                  </pic:blipFill>
                  <pic:spPr>
                    <a:xfrm>
                      <a:off x="0" y="0"/>
                      <a:ext cx="5270500" cy="1532890"/>
                    </a:xfrm>
                    <a:prstGeom prst="rect">
                      <a:avLst/>
                    </a:prstGeom>
                  </pic:spPr>
                </pic:pic>
              </a:graphicData>
            </a:graphic>
          </wp:inline>
        </w:drawing>
      </w:r>
    </w:p>
    <w:p w14:paraId="459F725D">
      <w:pPr>
        <w:pStyle w:val="11"/>
        <w:keepNext w:val="0"/>
        <w:keepLines w:val="0"/>
        <w:widowControl/>
        <w:suppressLineNumbers w:val="0"/>
        <w:spacing w:line="240" w:lineRule="auto"/>
        <w:ind w:firstLine="240" w:firstLineChars="100"/>
        <w:jc w:val="left"/>
        <w:textAlignment w:val="center"/>
        <w:rPr>
          <w:rFonts w:hint="default" w:ascii="宋体" w:hAnsi="宋体" w:eastAsia="宋体" w:cs="宋体"/>
          <w:color w:val="000000"/>
          <w:spacing w:val="0"/>
          <w:position w:val="0"/>
          <w:sz w:val="24"/>
          <w:szCs w:val="24"/>
          <w:lang w:val="en-US" w:eastAsia="zh-CN"/>
        </w:rPr>
      </w:pPr>
      <w:r>
        <w:rPr>
          <w:rFonts w:hint="eastAsia" w:ascii="宋体" w:hAnsi="宋体" w:eastAsia="宋体" w:cs="宋体"/>
          <w:color w:val="000000"/>
          <w:spacing w:val="0"/>
          <w:position w:val="0"/>
          <w:sz w:val="24"/>
          <w:szCs w:val="24"/>
          <w:lang w:val="en-US" w:eastAsia="zh-CN"/>
        </w:rPr>
        <w:t xml:space="preserve">                                 图4.1.1</w:t>
      </w:r>
    </w:p>
    <w:p w14:paraId="1A074541">
      <w:pPr>
        <w:pStyle w:val="11"/>
        <w:keepNext w:val="0"/>
        <w:keepLines w:val="0"/>
        <w:widowControl/>
        <w:suppressLineNumbers w:val="0"/>
        <w:spacing w:line="240" w:lineRule="auto"/>
        <w:ind w:left="0" w:firstLine="0"/>
        <w:jc w:val="left"/>
        <w:textAlignment w:val="center"/>
      </w:pPr>
      <w:r>
        <w:rPr>
          <w:rFonts w:hint="eastAsia" w:ascii="宋体" w:hAnsi="宋体" w:eastAsia="宋体" w:cs="宋体"/>
          <w:b/>
          <w:bCs/>
          <w:color w:val="000000"/>
          <w:spacing w:val="0"/>
          <w:position w:val="0"/>
          <w:sz w:val="24"/>
          <w:szCs w:val="24"/>
        </w:rPr>
        <w:t>园区B：50 kW/100 kWh 方向正确但</w:t>
      </w:r>
      <w:r>
        <w:rPr>
          <w:rFonts w:hint="eastAsia" w:ascii="宋体" w:hAnsi="宋体" w:eastAsia="宋体" w:cs="宋体"/>
          <w:b/>
          <w:bCs/>
          <w:color w:val="000000"/>
          <w:spacing w:val="0"/>
          <w:position w:val="0"/>
          <w:sz w:val="24"/>
          <w:szCs w:val="24"/>
          <w:lang w:val="en-US" w:eastAsia="zh-CN"/>
        </w:rPr>
        <w:t>存在不足</w:t>
      </w:r>
      <w:r>
        <w:rPr>
          <w:rFonts w:hint="eastAsia" w:ascii="宋体" w:hAnsi="宋体" w:eastAsia="宋体" w:cs="宋体"/>
          <w:b/>
          <w:bCs/>
          <w:color w:val="000000"/>
          <w:spacing w:val="0"/>
          <w:position w:val="0"/>
          <w:sz w:val="24"/>
          <w:szCs w:val="24"/>
        </w:rPr>
        <w:t>。</w:t>
      </w:r>
    </w:p>
    <w:p w14:paraId="7A4A7920">
      <w:pPr>
        <w:pStyle w:val="11"/>
        <w:keepNext w:val="0"/>
        <w:keepLines w:val="0"/>
        <w:widowControl/>
        <w:suppressLineNumbers w:val="0"/>
        <w:spacing w:line="240" w:lineRule="auto"/>
        <w:ind w:left="0" w:firstLine="502"/>
        <w:jc w:val="left"/>
        <w:textAlignment w:val="center"/>
        <w:rPr>
          <w:rFonts w:hint="eastAsia" w:ascii="宋体" w:hAnsi="宋体" w:eastAsia="宋体" w:cs="宋体"/>
          <w:color w:val="000000"/>
          <w:spacing w:val="0"/>
          <w:position w:val="0"/>
          <w:sz w:val="24"/>
          <w:szCs w:val="24"/>
          <w:lang w:eastAsia="zh-CN"/>
        </w:rPr>
      </w:pPr>
      <w:r>
        <w:rPr>
          <w:rFonts w:hint="eastAsia" w:ascii="宋体" w:hAnsi="宋体" w:eastAsia="宋体" w:cs="宋体"/>
          <w:color w:val="000000"/>
          <w:spacing w:val="0"/>
          <w:position w:val="0"/>
          <w:sz w:val="24"/>
          <w:szCs w:val="24"/>
        </w:rPr>
        <w:t>园区B 是三园区中储能价值最高者，最优配置125 kW /353.75 kWh 约为题目方案的2.5 倍功率、3.5 倍容量。采用最优配置后，年化总成本从50 kW/100 kWh 方案的1 842 985 元降至1 831 874 元，</w:t>
      </w:r>
      <w:r>
        <w:rPr>
          <w:rFonts w:hint="eastAsia" w:ascii="宋体" w:hAnsi="宋体" w:eastAsia="宋体" w:cs="宋体"/>
          <w:b/>
          <w:bCs/>
          <w:color w:val="000000"/>
          <w:spacing w:val="0"/>
          <w:position w:val="0"/>
          <w:sz w:val="24"/>
          <w:szCs w:val="24"/>
        </w:rPr>
        <w:t>年节省11 110.8 元</w:t>
      </w:r>
      <w:r>
        <w:rPr>
          <w:rFonts w:hint="eastAsia" w:ascii="宋体" w:hAnsi="宋体" w:eastAsia="宋体" w:cs="宋体"/>
          <w:color w:val="000000"/>
          <w:spacing w:val="0"/>
          <w:position w:val="0"/>
          <w:sz w:val="24"/>
          <w:szCs w:val="24"/>
        </w:rPr>
        <w:t>；相对完全不配储能则年节省19 095.6 元。园区B 之所以值得更大规模的储能，是因为其风电盈余分散在清晨（t =1,3–5）与傍晚（t =17–19）两段，储能在一天内可完成2.2 次完整循环</w:t>
      </w:r>
      <w:r>
        <w:rPr>
          <w:rFonts w:hint="eastAsia" w:ascii="宋体" w:hAnsi="宋体" w:eastAsia="宋体" w:cs="宋体"/>
          <w:color w:val="000000"/>
          <w:spacing w:val="0"/>
          <w:position w:val="0"/>
          <w:sz w:val="24"/>
          <w:szCs w:val="24"/>
          <w:lang w:eastAsia="zh-CN"/>
        </w:rPr>
        <w:t>。</w:t>
      </w:r>
    </w:p>
    <w:p w14:paraId="0C86C71A">
      <w:pPr>
        <w:pStyle w:val="11"/>
        <w:keepNext w:val="0"/>
        <w:keepLines w:val="0"/>
        <w:widowControl/>
        <w:suppressLineNumbers w:val="0"/>
        <w:spacing w:line="240" w:lineRule="auto"/>
        <w:ind w:firstLine="150" w:firstLineChars="100"/>
        <w:jc w:val="left"/>
        <w:textAlignment w:val="center"/>
        <w:rPr>
          <w:rFonts w:hint="eastAsia" w:ascii="宋体" w:hAnsi="宋体" w:eastAsia="宋体" w:cs="宋体"/>
          <w:color w:val="000000"/>
          <w:spacing w:val="0"/>
          <w:position w:val="0"/>
          <w:sz w:val="24"/>
          <w:szCs w:val="24"/>
          <w:lang w:eastAsia="zh-CN"/>
        </w:rPr>
      </w:pPr>
      <w:r>
        <w:rPr>
          <w:rFonts w:hint="eastAsia" w:ascii="宋体" w:hAnsi="宋体" w:eastAsia="宋体" w:cs="宋体"/>
          <w:color w:val="000000"/>
          <w:spacing w:val="0"/>
          <w:position w:val="0"/>
          <w:sz w:val="15"/>
          <w:szCs w:val="15"/>
          <w:lang w:val="en-US" w:eastAsia="zh-CN"/>
        </w:rPr>
        <w:t>下（4.1.2）为B园区的最优运行策略时一日内各时刻逐时功率和储能荷电状态示意图</w:t>
      </w:r>
    </w:p>
    <w:p w14:paraId="7C157A5D">
      <w:pPr>
        <w:pStyle w:val="11"/>
        <w:keepNext w:val="0"/>
        <w:keepLines w:val="0"/>
        <w:widowControl/>
        <w:suppressLineNumbers w:val="0"/>
        <w:spacing w:line="240" w:lineRule="auto"/>
        <w:ind w:left="0" w:firstLine="502"/>
        <w:jc w:val="left"/>
        <w:textAlignment w:val="center"/>
        <w:rPr>
          <w:rFonts w:hint="eastAsia" w:ascii="宋体" w:hAnsi="宋体" w:eastAsia="宋体" w:cs="宋体"/>
          <w:color w:val="000000"/>
          <w:spacing w:val="0"/>
          <w:position w:val="0"/>
          <w:sz w:val="24"/>
          <w:szCs w:val="24"/>
          <w:lang w:eastAsia="zh-CN"/>
        </w:rPr>
      </w:pPr>
      <w:r>
        <w:rPr>
          <w:rFonts w:hint="eastAsia" w:ascii="宋体" w:hAnsi="宋体" w:eastAsia="宋体" w:cs="宋体"/>
          <w:color w:val="000000"/>
          <w:spacing w:val="0"/>
          <w:position w:val="0"/>
          <w:sz w:val="24"/>
          <w:szCs w:val="24"/>
          <w:lang w:eastAsia="zh-CN"/>
        </w:rPr>
        <w:drawing>
          <wp:inline distT="0" distB="0" distL="114300" distR="114300">
            <wp:extent cx="5270500" cy="1532890"/>
            <wp:effectExtent l="0" t="0" r="0" b="3810"/>
            <wp:docPr id="15" name="图片 15" descr="figure_20261002_231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igure_20261002_231521"/>
                    <pic:cNvPicPr>
                      <a:picLocks noChangeAspect="1"/>
                    </pic:cNvPicPr>
                  </pic:nvPicPr>
                  <pic:blipFill>
                    <a:blip r:embed="rId18"/>
                    <a:stretch>
                      <a:fillRect/>
                    </a:stretch>
                  </pic:blipFill>
                  <pic:spPr>
                    <a:xfrm>
                      <a:off x="0" y="0"/>
                      <a:ext cx="5270500" cy="1532890"/>
                    </a:xfrm>
                    <a:prstGeom prst="rect">
                      <a:avLst/>
                    </a:prstGeom>
                  </pic:spPr>
                </pic:pic>
              </a:graphicData>
            </a:graphic>
          </wp:inline>
        </w:drawing>
      </w:r>
    </w:p>
    <w:p w14:paraId="3F34F76C">
      <w:pPr>
        <w:pStyle w:val="11"/>
        <w:keepNext w:val="0"/>
        <w:keepLines w:val="0"/>
        <w:widowControl/>
        <w:suppressLineNumbers w:val="0"/>
        <w:spacing w:line="240" w:lineRule="auto"/>
        <w:ind w:left="0" w:firstLine="502"/>
        <w:jc w:val="left"/>
        <w:textAlignment w:val="center"/>
        <w:rPr>
          <w:rFonts w:hint="default" w:ascii="宋体" w:hAnsi="宋体" w:eastAsia="宋体" w:cs="宋体"/>
          <w:color w:val="000000"/>
          <w:spacing w:val="0"/>
          <w:position w:val="0"/>
          <w:sz w:val="24"/>
          <w:szCs w:val="24"/>
          <w:lang w:val="en-US" w:eastAsia="zh-CN"/>
        </w:rPr>
      </w:pPr>
      <w:r>
        <w:rPr>
          <w:rFonts w:hint="eastAsia" w:ascii="宋体" w:hAnsi="宋体" w:eastAsia="宋体" w:cs="宋体"/>
          <w:color w:val="000000"/>
          <w:spacing w:val="0"/>
          <w:position w:val="0"/>
          <w:sz w:val="24"/>
          <w:szCs w:val="24"/>
          <w:lang w:val="en-US" w:eastAsia="zh-CN"/>
        </w:rPr>
        <w:t xml:space="preserve">                         图4.1.2</w:t>
      </w:r>
    </w:p>
    <w:p w14:paraId="24D0624B">
      <w:pPr>
        <w:pStyle w:val="11"/>
        <w:keepNext w:val="0"/>
        <w:keepLines w:val="0"/>
        <w:widowControl/>
        <w:suppressLineNumbers w:val="0"/>
        <w:spacing w:line="240" w:lineRule="auto"/>
        <w:ind w:left="0" w:firstLine="0"/>
        <w:jc w:val="left"/>
        <w:textAlignment w:val="center"/>
        <w:rPr>
          <w:rFonts w:hint="eastAsia" w:eastAsia="宋体"/>
          <w:lang w:val="en-US" w:eastAsia="zh-CN"/>
        </w:rPr>
      </w:pPr>
      <w:r>
        <w:rPr>
          <w:rFonts w:hint="eastAsia" w:ascii="宋体" w:hAnsi="宋体" w:eastAsia="宋体" w:cs="宋体"/>
          <w:b/>
          <w:bCs/>
          <w:color w:val="000000"/>
          <w:spacing w:val="0"/>
          <w:position w:val="0"/>
          <w:sz w:val="24"/>
          <w:szCs w:val="24"/>
        </w:rPr>
        <w:t xml:space="preserve">园区C：50 kW/100 kWh </w:t>
      </w:r>
      <w:r>
        <w:rPr>
          <w:rFonts w:hint="eastAsia" w:ascii="宋体" w:hAnsi="宋体" w:eastAsia="宋体" w:cs="宋体"/>
          <w:b/>
          <w:bCs/>
          <w:color w:val="000000"/>
          <w:spacing w:val="0"/>
          <w:position w:val="0"/>
          <w:sz w:val="24"/>
          <w:szCs w:val="24"/>
          <w:lang w:val="en-US" w:eastAsia="zh-CN"/>
        </w:rPr>
        <w:t>可行</w:t>
      </w:r>
    </w:p>
    <w:p w14:paraId="7377A8E7">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color w:val="000000"/>
          <w:spacing w:val="0"/>
          <w:kern w:val="0"/>
          <w:position w:val="0"/>
          <w:sz w:val="24"/>
          <w:szCs w:val="24"/>
          <w:lang w:val="en-US" w:eastAsia="zh-CN" w:bidi="ar"/>
        </w:rPr>
        <w:t>园区C最优配置58.75 kW /70 kWh 与题目方案的容量相近但功率略高、容量略低（持续时长从2.0 h 降至1.19 h），年节省1 351.9 元。相对无储能则年节省2 142.8 元。园区C 的储能收益本身较薄，这与其风光互补特性有关：互补使弃电更分散，储能可循环约2.1 次，但可转移的弃电总量有限。</w:t>
      </w:r>
      <w:r>
        <w:rPr>
          <w:rFonts w:ascii="宋体" w:hAnsi="宋体" w:eastAsia="宋体" w:cs="宋体"/>
          <w:kern w:val="0"/>
          <w:sz w:val="24"/>
          <w:szCs w:val="24"/>
          <w:lang w:val="en-US" w:eastAsia="zh-CN" w:bidi="ar"/>
        </w:rPr>
        <w:t xml:space="preserve"> </w:t>
      </w:r>
    </w:p>
    <w:p w14:paraId="656B3376">
      <w:pPr>
        <w:pStyle w:val="11"/>
        <w:keepNext w:val="0"/>
        <w:keepLines w:val="0"/>
        <w:widowControl/>
        <w:suppressLineNumbers w:val="0"/>
        <w:spacing w:line="240" w:lineRule="auto"/>
        <w:ind w:firstLine="150" w:firstLineChars="100"/>
        <w:jc w:val="left"/>
        <w:textAlignment w:val="center"/>
        <w:rPr>
          <w:rFonts w:ascii="宋体" w:hAnsi="宋体" w:eastAsia="宋体" w:cs="宋体"/>
          <w:kern w:val="0"/>
          <w:sz w:val="24"/>
          <w:szCs w:val="24"/>
          <w:lang w:val="en-US" w:eastAsia="zh-CN" w:bidi="ar"/>
        </w:rPr>
      </w:pPr>
      <w:r>
        <w:rPr>
          <w:rFonts w:hint="eastAsia" w:ascii="宋体" w:hAnsi="宋体" w:eastAsia="宋体" w:cs="宋体"/>
          <w:color w:val="000000"/>
          <w:spacing w:val="0"/>
          <w:position w:val="0"/>
          <w:sz w:val="15"/>
          <w:szCs w:val="15"/>
          <w:lang w:val="en-US" w:eastAsia="zh-CN"/>
        </w:rPr>
        <w:t>下（4.1.3）为C园区的典型日最优运行策略时一日内各时刻逐时功率和储能荷电状态示意图</w:t>
      </w:r>
    </w:p>
    <w:p w14:paraId="67404DB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270500" cy="1532890"/>
            <wp:effectExtent l="0" t="0" r="0" b="3810"/>
            <wp:docPr id="16" name="图片 16" descr="figure_20261002_231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igure_20261002_231636"/>
                    <pic:cNvPicPr>
                      <a:picLocks noChangeAspect="1"/>
                    </pic:cNvPicPr>
                  </pic:nvPicPr>
                  <pic:blipFill>
                    <a:blip r:embed="rId19"/>
                    <a:stretch>
                      <a:fillRect/>
                    </a:stretch>
                  </pic:blipFill>
                  <pic:spPr>
                    <a:xfrm>
                      <a:off x="0" y="0"/>
                      <a:ext cx="5270500" cy="1532890"/>
                    </a:xfrm>
                    <a:prstGeom prst="rect">
                      <a:avLst/>
                    </a:prstGeom>
                  </pic:spPr>
                </pic:pic>
              </a:graphicData>
            </a:graphic>
          </wp:inline>
        </w:drawing>
      </w:r>
    </w:p>
    <w:p w14:paraId="0C417D42">
      <w:pPr>
        <w:keepNext w:val="0"/>
        <w:keepLines w:val="0"/>
        <w:widowControl/>
        <w:suppressLineNumbers w:val="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图4.1.3</w:t>
      </w:r>
    </w:p>
    <w:p w14:paraId="25389A86">
      <w:pPr>
        <w:rPr>
          <w:rFonts w:hint="default"/>
          <w:lang w:val="en-US" w:eastAsia="zh-CN"/>
        </w:rPr>
      </w:pPr>
    </w:p>
    <w:p w14:paraId="3CE34762">
      <w:pPr>
        <w:pStyle w:val="5"/>
        <w:bidi w:val="0"/>
        <w:rPr>
          <w:rFonts w:hint="eastAsia"/>
          <w:lang w:val="en-US" w:eastAsia="zh-CN"/>
        </w:rPr>
      </w:pPr>
      <w:r>
        <w:rPr>
          <w:rFonts w:hint="eastAsia"/>
          <w:lang w:val="en-US" w:eastAsia="zh-CN"/>
        </w:rPr>
        <w:t>5结论</w:t>
      </w:r>
    </w:p>
    <w:p w14:paraId="21257132">
      <w:pPr>
        <w:pStyle w:val="10"/>
        <w:bidi w:val="0"/>
      </w:pPr>
      <w:r>
        <w:t>本文建立</w:t>
      </w:r>
      <w:r>
        <w:rPr>
          <w:rFonts w:hint="eastAsia"/>
          <w:lang w:val="en-US" w:eastAsia="zh-CN"/>
        </w:rPr>
        <w:t>园区微电网储能优化</w:t>
      </w:r>
      <w:r>
        <w:t>模型，提出基于</w:t>
      </w:r>
      <w:r>
        <w:rPr>
          <w:rFonts w:hint="eastAsia"/>
          <w:lang w:val="en-US" w:eastAsia="zh-CN"/>
        </w:rPr>
        <w:t>电池能量</w:t>
      </w:r>
      <w:r>
        <w:t>动态运</w:t>
      </w:r>
      <w:r>
        <w:rPr>
          <w:rFonts w:hint="eastAsia"/>
          <w:lang w:val="en-US" w:eastAsia="zh-CN"/>
        </w:rPr>
        <w:t>用</w:t>
      </w:r>
      <w:r>
        <w:t>策略，对系统进行设计运行</w:t>
      </w:r>
      <w:r>
        <w:rPr>
          <w:rFonts w:hint="eastAsia"/>
          <w:lang w:val="en-US" w:eastAsia="zh-CN"/>
        </w:rPr>
        <w:t>储能</w:t>
      </w:r>
      <w:r>
        <w:t>优化。主要结论如下：</w:t>
      </w:r>
    </w:p>
    <w:p w14:paraId="40F98C54">
      <w:pPr>
        <w:pStyle w:val="11"/>
        <w:keepNext w:val="0"/>
        <w:keepLines w:val="0"/>
        <w:widowControl/>
        <w:numPr>
          <w:ilvl w:val="0"/>
          <w:numId w:val="4"/>
        </w:numPr>
        <w:suppressLineNumbers w:val="0"/>
        <w:spacing w:line="240" w:lineRule="auto"/>
        <w:ind w:left="0" w:leftChars="0" w:firstLine="0" w:firstLineChars="0"/>
        <w:jc w:val="left"/>
        <w:textAlignment w:val="center"/>
      </w:pPr>
      <w:r>
        <w:rPr>
          <w:rFonts w:hint="eastAsia"/>
          <w:lang w:val="en-US" w:eastAsia="zh-CN"/>
        </w:rPr>
        <w:t>电池日循环次数</w:t>
      </w:r>
      <w:r>
        <w:t>影响最佳运行策略的选择</w:t>
      </w:r>
      <w:r>
        <w:rPr>
          <w:rFonts w:hint="eastAsia"/>
          <w:lang w:val="en-US" w:eastAsia="zh-CN"/>
        </w:rPr>
        <w:t>。各个园区风光伏电日分配情况影响最佳策略的选择。在单一电价1.0元/kWh，禁止售电条件下，日循环次数k需满足一定阈值（光伏充电k≥1.17，风电充电k≥1.46）才可能盈利</w:t>
      </w:r>
    </w:p>
    <w:p w14:paraId="51EDEC0F">
      <w:pPr>
        <w:pStyle w:val="11"/>
        <w:keepNext w:val="0"/>
        <w:keepLines w:val="0"/>
        <w:widowControl/>
        <w:numPr>
          <w:ilvl w:val="0"/>
          <w:numId w:val="4"/>
        </w:numPr>
        <w:suppressLineNumbers w:val="0"/>
        <w:spacing w:line="240" w:lineRule="auto"/>
        <w:ind w:left="0" w:leftChars="0" w:firstLine="0" w:firstLineChars="0"/>
        <w:jc w:val="left"/>
        <w:textAlignment w:val="center"/>
        <w:rPr>
          <w:rFonts w:hint="default"/>
          <w:lang w:val="en-US" w:eastAsia="zh-CN"/>
        </w:rPr>
      </w:pPr>
      <w:r>
        <w:rPr>
          <w:rFonts w:hint="eastAsia"/>
          <w:lang w:val="en-US" w:eastAsia="zh-CN"/>
        </w:rPr>
        <w:t>A园区不适配任何储能，</w:t>
      </w:r>
      <w:r>
        <w:rPr>
          <w:rFonts w:hint="eastAsia" w:ascii="宋体" w:hAnsi="宋体" w:eastAsia="宋体" w:cs="宋体"/>
          <w:color w:val="000000"/>
          <w:spacing w:val="0"/>
          <w:position w:val="0"/>
          <w:sz w:val="24"/>
          <w:szCs w:val="24"/>
        </w:rPr>
        <w:t>光伏盈余集中连片地出现在午间</w:t>
      </w:r>
      <w:r>
        <w:rPr>
          <w:rFonts w:hint="eastAsia" w:ascii="宋体" w:hAnsi="宋体" w:eastAsia="宋体" w:cs="宋体"/>
          <w:color w:val="000000"/>
          <w:spacing w:val="0"/>
          <w:position w:val="0"/>
          <w:sz w:val="24"/>
          <w:szCs w:val="24"/>
          <w:lang w:eastAsia="zh-CN"/>
        </w:rPr>
        <w:t>，</w:t>
      </w:r>
      <w:r>
        <w:rPr>
          <w:rFonts w:hint="eastAsia" w:ascii="宋体" w:hAnsi="宋体" w:eastAsia="宋体" w:cs="宋体"/>
          <w:color w:val="000000"/>
          <w:spacing w:val="0"/>
          <w:position w:val="0"/>
          <w:sz w:val="24"/>
          <w:szCs w:val="24"/>
          <w:lang w:val="en-US" w:eastAsia="zh-CN"/>
        </w:rPr>
        <w:t>日循环次数不足，应优先扩大光伏或调整负荷，</w:t>
      </w:r>
    </w:p>
    <w:p w14:paraId="5C6BE462">
      <w:pPr>
        <w:pStyle w:val="11"/>
        <w:keepNext w:val="0"/>
        <w:keepLines w:val="0"/>
        <w:widowControl/>
        <w:numPr>
          <w:ilvl w:val="0"/>
          <w:numId w:val="4"/>
        </w:numPr>
        <w:suppressLineNumbers w:val="0"/>
        <w:spacing w:line="240" w:lineRule="auto"/>
        <w:ind w:left="0" w:leftChars="0" w:firstLine="0" w:firstLineChars="0"/>
        <w:jc w:val="left"/>
        <w:textAlignment w:val="center"/>
        <w:rPr>
          <w:rFonts w:hint="default"/>
          <w:lang w:val="en-US" w:eastAsia="zh-CN"/>
        </w:rPr>
      </w:pPr>
      <w:r>
        <w:rPr>
          <w:rFonts w:hint="eastAsia" w:ascii="宋体" w:hAnsi="宋体" w:eastAsia="宋体" w:cs="宋体"/>
          <w:color w:val="000000"/>
          <w:spacing w:val="0"/>
          <w:position w:val="0"/>
          <w:sz w:val="24"/>
          <w:szCs w:val="24"/>
          <w:lang w:val="en-US" w:eastAsia="zh-CN"/>
        </w:rPr>
        <w:t>B园区储能价值最高，最优配置约为125kW/353.75kWh，风电盈余分散在清晨与傍晚，可多次循环</w:t>
      </w:r>
    </w:p>
    <w:p w14:paraId="76CB9C5F">
      <w:pPr>
        <w:pStyle w:val="11"/>
        <w:keepNext w:val="0"/>
        <w:keepLines w:val="0"/>
        <w:widowControl/>
        <w:numPr>
          <w:ilvl w:val="0"/>
          <w:numId w:val="4"/>
        </w:numPr>
        <w:suppressLineNumbers w:val="0"/>
        <w:spacing w:line="240" w:lineRule="auto"/>
        <w:ind w:left="0" w:leftChars="0" w:firstLine="0" w:firstLineChars="0"/>
        <w:jc w:val="left"/>
        <w:textAlignment w:val="center"/>
        <w:rPr>
          <w:rFonts w:hint="default"/>
          <w:lang w:val="en-US" w:eastAsia="zh-CN"/>
        </w:rPr>
      </w:pPr>
      <w:r>
        <w:rPr>
          <w:rFonts w:hint="eastAsia" w:ascii="宋体" w:hAnsi="宋体" w:eastAsia="宋体" w:cs="宋体"/>
          <w:color w:val="000000"/>
          <w:spacing w:val="0"/>
          <w:position w:val="0"/>
          <w:sz w:val="24"/>
          <w:szCs w:val="24"/>
          <w:lang w:val="en-US" w:eastAsia="zh-CN"/>
        </w:rPr>
        <w:t>C园区风光互补，弃电分散，最优配置约58.75kW/70kWh，收益相较而言薄；运行策略应优先光伏，其次风电，不足放电，盈余充电，余额购电，剩余弃电</w:t>
      </w:r>
    </w:p>
    <w:p w14:paraId="5654B6CE">
      <w:pPr>
        <w:pStyle w:val="11"/>
        <w:keepNext w:val="0"/>
        <w:keepLines w:val="0"/>
        <w:widowControl/>
        <w:numPr>
          <w:ilvl w:val="0"/>
          <w:numId w:val="0"/>
        </w:numPr>
        <w:suppressLineNumbers w:val="0"/>
        <w:spacing w:line="240" w:lineRule="auto"/>
        <w:ind w:leftChars="0" w:right="0" w:rightChars="0"/>
        <w:jc w:val="left"/>
        <w:textAlignment w:val="center"/>
        <w:rPr>
          <w:rFonts w:hint="eastAsia" w:ascii="宋体" w:hAnsi="宋体" w:eastAsia="宋体" w:cs="宋体"/>
          <w:color w:val="000000"/>
          <w:spacing w:val="0"/>
          <w:position w:val="0"/>
          <w:sz w:val="24"/>
          <w:szCs w:val="24"/>
          <w:lang w:val="en-US" w:eastAsia="zh-CN"/>
        </w:rPr>
      </w:pPr>
      <w:r>
        <w:rPr>
          <w:rFonts w:hint="eastAsia" w:ascii="宋体" w:hAnsi="宋体" w:eastAsia="宋体" w:cs="宋体"/>
          <w:color w:val="000000"/>
          <w:spacing w:val="0"/>
          <w:position w:val="0"/>
          <w:sz w:val="24"/>
          <w:szCs w:val="24"/>
          <w:lang w:val="en-US" w:eastAsia="zh-CN"/>
        </w:rPr>
        <w:t>局限性：本文的优化基于单一典型日数据，未考虑全年风光负荷的逐月变化，储能容量配置结果可作为典型日情景下的参考。后续工作可利用12个月典型日加权优化，并结合电池寿命衰减模型，进一步验证全生命周期经济性。</w:t>
      </w:r>
    </w:p>
    <w:p w14:paraId="314D5E91">
      <w:pPr>
        <w:pStyle w:val="11"/>
        <w:keepNext w:val="0"/>
        <w:keepLines w:val="0"/>
        <w:widowControl/>
        <w:numPr>
          <w:ilvl w:val="0"/>
          <w:numId w:val="0"/>
        </w:numPr>
        <w:suppressLineNumbers w:val="0"/>
        <w:spacing w:line="240" w:lineRule="auto"/>
        <w:ind w:leftChars="0" w:right="0" w:rightChars="0"/>
        <w:jc w:val="left"/>
        <w:textAlignment w:val="center"/>
        <w:rPr>
          <w:rFonts w:hint="eastAsia" w:ascii="宋体" w:hAnsi="宋体" w:eastAsia="宋体" w:cs="宋体"/>
          <w:color w:val="000000"/>
          <w:spacing w:val="0"/>
          <w:position w:val="0"/>
          <w:sz w:val="24"/>
          <w:szCs w:val="24"/>
          <w:lang w:val="en-US" w:eastAsia="zh-CN"/>
        </w:rPr>
      </w:pPr>
      <w:r>
        <w:rPr>
          <w:rFonts w:hint="eastAsia" w:ascii="宋体" w:hAnsi="宋体" w:eastAsia="宋体" w:cs="宋体"/>
          <w:color w:val="000000"/>
          <w:spacing w:val="0"/>
          <w:position w:val="0"/>
          <w:sz w:val="24"/>
          <w:szCs w:val="24"/>
          <w:lang w:val="en-US" w:eastAsia="zh-CN"/>
        </w:rPr>
        <w:t>参考文献</w:t>
      </w:r>
    </w:p>
    <w:p w14:paraId="1AECBDB1">
      <w:pPr>
        <w:keepNext w:val="0"/>
        <w:keepLines w:val="0"/>
        <w:widowControl/>
        <w:suppressLineNumbers w:val="0"/>
        <w:jc w:val="left"/>
        <w:rPr>
          <w:rFonts w:hint="default" w:ascii="宋体" w:hAnsi="宋体" w:eastAsia="宋体" w:cs="宋体"/>
          <w:color w:val="000000"/>
          <w:spacing w:val="0"/>
          <w:position w:val="0"/>
          <w:sz w:val="24"/>
          <w:szCs w:val="24"/>
          <w:lang w:val="en-US" w:eastAsia="zh-CN"/>
        </w:rPr>
      </w:pPr>
      <w:r>
        <w:rPr>
          <w:rFonts w:hint="default" w:ascii="宋体" w:hAnsi="宋体" w:eastAsia="宋体" w:cs="宋体"/>
          <w:color w:val="000000"/>
          <w:spacing w:val="0"/>
          <w:position w:val="0"/>
          <w:sz w:val="24"/>
          <w:szCs w:val="24"/>
          <w:lang w:val="en-US" w:eastAsia="zh-CN"/>
        </w:rPr>
        <w:t>[1] Chen C, Gooi H B, Wang M. Sizing of Energy Storage for Microgrids[J]. IEEE Transactions on Smart Grid, 2012, 3(1): 142-151.</w:t>
      </w:r>
    </w:p>
    <w:p w14:paraId="2B1DF91B">
      <w:pPr>
        <w:keepNext w:val="0"/>
        <w:keepLines w:val="0"/>
        <w:widowControl/>
        <w:suppressLineNumbers w:val="0"/>
        <w:jc w:val="left"/>
        <w:rPr>
          <w:rFonts w:hint="default" w:ascii="宋体" w:hAnsi="宋体" w:eastAsia="宋体" w:cs="宋体"/>
          <w:color w:val="000000"/>
          <w:spacing w:val="0"/>
          <w:position w:val="0"/>
          <w:sz w:val="24"/>
          <w:szCs w:val="24"/>
          <w:lang w:val="en-US" w:eastAsia="zh-CN"/>
        </w:rPr>
      </w:pPr>
      <w:r>
        <w:rPr>
          <w:rFonts w:hint="default" w:ascii="宋体" w:hAnsi="宋体" w:eastAsia="宋体" w:cs="宋体"/>
          <w:color w:val="000000"/>
          <w:spacing w:val="0"/>
          <w:position w:val="0"/>
          <w:sz w:val="24"/>
          <w:szCs w:val="24"/>
          <w:lang w:val="en-US" w:eastAsia="zh-CN"/>
        </w:rPr>
        <w:t>[2] Yang Y, Bremner S, Menictas C, et al. Battery energy storage system size determination in renewable energy systems: A review[J]. Renewable and Sustainable Energy Reviews, 2018, 91: 109-125.</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Courier">
    <w:altName w:val="Courier New"/>
    <w:panose1 w:val="02000500000000000000"/>
    <w:charset w:val="00"/>
    <w:family w:val="auto"/>
    <w:pitch w:val="default"/>
    <w:sig w:usb0="00000000"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C29E6E"/>
    <w:multiLevelType w:val="singleLevel"/>
    <w:tmpl w:val="BCC29E6E"/>
    <w:lvl w:ilvl="0" w:tentative="0">
      <w:start w:val="2"/>
      <w:numFmt w:val="chineseCounting"/>
      <w:suff w:val="nothing"/>
      <w:lvlText w:val="第%1，"/>
      <w:lvlJc w:val="left"/>
      <w:rPr>
        <w:rFonts w:hint="eastAsia"/>
      </w:rPr>
    </w:lvl>
  </w:abstractNum>
  <w:abstractNum w:abstractNumId="1">
    <w:nsid w:val="D73972F8"/>
    <w:multiLevelType w:val="multilevel"/>
    <w:tmpl w:val="D73972F8"/>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26B88CE6"/>
    <w:multiLevelType w:val="singleLevel"/>
    <w:tmpl w:val="26B88CE6"/>
    <w:lvl w:ilvl="0" w:tentative="0">
      <w:start w:val="1"/>
      <w:numFmt w:val="decimal"/>
      <w:lvlText w:val="%1."/>
      <w:lvlJc w:val="left"/>
      <w:pPr>
        <w:tabs>
          <w:tab w:val="left" w:pos="312"/>
        </w:tabs>
      </w:pPr>
    </w:lvl>
  </w:abstractNum>
  <w:abstractNum w:abstractNumId="3">
    <w:nsid w:val="6ED584CE"/>
    <w:multiLevelType w:val="singleLevel"/>
    <w:tmpl w:val="6ED584CE"/>
    <w:lvl w:ilvl="0" w:tentative="0">
      <w:start w:val="1"/>
      <w:numFmt w:val="decimal"/>
      <w:suff w:val="nothing"/>
      <w:lvlText w:val="%1）"/>
      <w:lvlJc w:val="left"/>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C3108A"/>
    <w:rsid w:val="001B67D4"/>
    <w:rsid w:val="00A17C2E"/>
    <w:rsid w:val="11421D1E"/>
    <w:rsid w:val="149853A8"/>
    <w:rsid w:val="24FE3176"/>
    <w:rsid w:val="28882E73"/>
    <w:rsid w:val="2C0327ED"/>
    <w:rsid w:val="2F0462FD"/>
    <w:rsid w:val="32E82F7D"/>
    <w:rsid w:val="3E681E84"/>
    <w:rsid w:val="3F3B7031"/>
    <w:rsid w:val="44E34FB4"/>
    <w:rsid w:val="44F84448"/>
    <w:rsid w:val="491C0397"/>
    <w:rsid w:val="4CF25444"/>
    <w:rsid w:val="50C366B5"/>
    <w:rsid w:val="53C86603"/>
    <w:rsid w:val="54062093"/>
    <w:rsid w:val="57A64BE3"/>
    <w:rsid w:val="582A5865"/>
    <w:rsid w:val="5AF77634"/>
    <w:rsid w:val="6175761F"/>
    <w:rsid w:val="61A50F84"/>
    <w:rsid w:val="6DDE15FC"/>
    <w:rsid w:val="6E4274D3"/>
    <w:rsid w:val="6F4423CB"/>
    <w:rsid w:val="70414E50"/>
    <w:rsid w:val="73410663"/>
    <w:rsid w:val="7349391C"/>
    <w:rsid w:val="74C3108A"/>
    <w:rsid w:val="79835AE0"/>
    <w:rsid w:val="7EB826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6"/>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20"/>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link w:val="2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link w:val="17"/>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paragraph" w:styleId="8">
    <w:name w:val="heading 7"/>
    <w:basedOn w:val="1"/>
    <w:next w:val="1"/>
    <w:link w:val="18"/>
    <w:unhideWhenUsed/>
    <w:qFormat/>
    <w:uiPriority w:val="0"/>
    <w:pPr>
      <w:keepNext/>
      <w:keepLines/>
      <w:spacing w:before="240" w:beforeLines="0" w:beforeAutospacing="0" w:after="64" w:afterLines="0" w:afterAutospacing="0" w:line="317" w:lineRule="auto"/>
      <w:outlineLvl w:val="6"/>
    </w:pPr>
    <w:rPr>
      <w:b/>
      <w:sz w:val="24"/>
    </w:rPr>
  </w:style>
  <w:style w:type="paragraph" w:styleId="9">
    <w:name w:val="heading 8"/>
    <w:basedOn w:val="1"/>
    <w:next w:val="1"/>
    <w:link w:val="15"/>
    <w:unhideWhenUsed/>
    <w:qFormat/>
    <w:uiPriority w:val="0"/>
    <w:pPr>
      <w:keepNext/>
      <w:keepLines/>
      <w:spacing w:before="240" w:beforeLines="0" w:beforeAutospacing="0" w:after="64" w:afterLines="0" w:afterAutospacing="0" w:line="317" w:lineRule="auto"/>
      <w:outlineLvl w:val="7"/>
    </w:pPr>
    <w:rPr>
      <w:rFonts w:ascii="Arial" w:hAnsi="Arial" w:eastAsia="黑体"/>
      <w:sz w:val="24"/>
    </w:rPr>
  </w:style>
  <w:style w:type="paragraph" w:styleId="10">
    <w:name w:val="heading 9"/>
    <w:basedOn w:val="1"/>
    <w:next w:val="1"/>
    <w:link w:val="19"/>
    <w:unhideWhenUsed/>
    <w:qFormat/>
    <w:uiPriority w:val="0"/>
    <w:pPr>
      <w:keepNext/>
      <w:keepLines/>
      <w:spacing w:before="240" w:beforeLines="0" w:beforeAutospacing="0" w:after="64" w:afterLines="0" w:afterAutospacing="0" w:line="317" w:lineRule="auto"/>
      <w:outlineLvl w:val="8"/>
    </w:pPr>
    <w:rPr>
      <w:rFonts w:ascii="Arial" w:hAnsi="Arial" w:eastAsia="黑体"/>
      <w:sz w:val="21"/>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
    <w:name w:val="标题 8 Char"/>
    <w:link w:val="9"/>
    <w:qFormat/>
    <w:uiPriority w:val="0"/>
    <w:rPr>
      <w:rFonts w:ascii="Arial" w:hAnsi="Arial" w:eastAsia="黑体"/>
      <w:sz w:val="24"/>
    </w:rPr>
  </w:style>
  <w:style w:type="character" w:customStyle="1" w:styleId="16">
    <w:name w:val="标题 2 Char"/>
    <w:link w:val="3"/>
    <w:qFormat/>
    <w:uiPriority w:val="0"/>
    <w:rPr>
      <w:rFonts w:ascii="Arial" w:hAnsi="Arial" w:eastAsia="黑体"/>
      <w:b/>
      <w:sz w:val="32"/>
    </w:rPr>
  </w:style>
  <w:style w:type="character" w:customStyle="1" w:styleId="17">
    <w:name w:val="标题 6 Char"/>
    <w:link w:val="7"/>
    <w:qFormat/>
    <w:uiPriority w:val="0"/>
    <w:rPr>
      <w:rFonts w:ascii="Arial" w:hAnsi="Arial" w:eastAsia="黑体"/>
      <w:b/>
      <w:sz w:val="24"/>
    </w:rPr>
  </w:style>
  <w:style w:type="character" w:customStyle="1" w:styleId="18">
    <w:name w:val="标题 7 Char"/>
    <w:link w:val="8"/>
    <w:qFormat/>
    <w:uiPriority w:val="0"/>
    <w:rPr>
      <w:b/>
      <w:sz w:val="24"/>
    </w:rPr>
  </w:style>
  <w:style w:type="character" w:customStyle="1" w:styleId="19">
    <w:name w:val="标题 9 Char"/>
    <w:link w:val="10"/>
    <w:qFormat/>
    <w:uiPriority w:val="0"/>
    <w:rPr>
      <w:rFonts w:ascii="Arial" w:hAnsi="Arial" w:eastAsia="黑体"/>
      <w:sz w:val="21"/>
    </w:rPr>
  </w:style>
  <w:style w:type="character" w:customStyle="1" w:styleId="20">
    <w:name w:val="标题 3 Char"/>
    <w:link w:val="4"/>
    <w:qFormat/>
    <w:uiPriority w:val="0"/>
    <w:rPr>
      <w:b/>
      <w:sz w:val="32"/>
    </w:rPr>
  </w:style>
  <w:style w:type="character" w:customStyle="1" w:styleId="21">
    <w:name w:val="标题 4 Char"/>
    <w:link w:val="5"/>
    <w:qFormat/>
    <w:uiPriority w:val="0"/>
    <w:rPr>
      <w:rFonts w:ascii="Arial" w:hAnsi="Arial" w:eastAsia="黑体"/>
      <w:b/>
      <w:sz w:val="28"/>
    </w:rPr>
  </w:style>
</w:styles>
</file>

<file path=word/_rels/document.xml.rels><?xml version="1.0" encoding="UTF-8" standalone="yes"?>
<Relationships xmlns="http://schemas.openxmlformats.org/package/2006/relationships"><Relationship Id="rId9" Type="http://schemas.openxmlformats.org/officeDocument/2006/relationships/chart" Target="charts/chart6.xml"/><Relationship Id="rId8" Type="http://schemas.openxmlformats.org/officeDocument/2006/relationships/chart" Target="charts/chart5.xml"/><Relationship Id="rId7" Type="http://schemas.openxmlformats.org/officeDocument/2006/relationships/chart" Target="charts/chart4.xml"/><Relationship Id="rId6" Type="http://schemas.openxmlformats.org/officeDocument/2006/relationships/chart" Target="charts/chart3.xml"/><Relationship Id="rId5" Type="http://schemas.openxmlformats.org/officeDocument/2006/relationships/chart" Target="charts/chart2.xml"/><Relationship Id="rId4" Type="http://schemas.openxmlformats.org/officeDocument/2006/relationships/chart" Target="charts/chart1.xml"/><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chart" Target="charts/chart8.xml"/><Relationship Id="rId14" Type="http://schemas.openxmlformats.org/officeDocument/2006/relationships/chart" Target="charts/chart7.xml"/><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package" Target="../embeddings/Workbook3.xlsx"/></Relationships>
</file>

<file path=word/charts/_rels/chart2.xml.rels><?xml version="1.0" encoding="UTF-8" standalone="yes"?>
<Relationships xmlns="http://schemas.openxmlformats.org/package/2006/relationships"><Relationship Id="rId3" Type="http://schemas.microsoft.com/office/2011/relationships/chartColorStyle" Target="colors7.xml"/><Relationship Id="rId2" Type="http://schemas.microsoft.com/office/2011/relationships/chartStyle" Target="style7.xml"/><Relationship Id="rId1" Type="http://schemas.openxmlformats.org/officeDocument/2006/relationships/package" Target="../embeddings/Workbook7.xlsx"/></Relationships>
</file>

<file path=word/charts/_rels/chart3.xml.rels><?xml version="1.0" encoding="UTF-8" standalone="yes"?>
<Relationships xmlns="http://schemas.openxmlformats.org/package/2006/relationships"><Relationship Id="rId4" Type="http://schemas.microsoft.com/office/2011/relationships/chartColorStyle" Target="colors1.xml"/><Relationship Id="rId3" Type="http://schemas.microsoft.com/office/2011/relationships/chartStyle" Target="style1.xml"/><Relationship Id="rId2" Type="http://schemas.openxmlformats.org/officeDocument/2006/relationships/themeOverride" Target="../theme/themeOverride1.xml"/><Relationship Id="rId1" Type="http://schemas.openxmlformats.org/officeDocument/2006/relationships/package" Target="../embeddings/Workbook1.xlsx"/></Relationships>
</file>

<file path=word/charts/_rels/chart4.xml.rels><?xml version="1.0" encoding="UTF-8" standalone="yes"?>
<Relationships xmlns="http://schemas.openxmlformats.org/package/2006/relationships"><Relationship Id="rId4" Type="http://schemas.microsoft.com/office/2011/relationships/chartColorStyle" Target="colors8.xml"/><Relationship Id="rId3" Type="http://schemas.microsoft.com/office/2011/relationships/chartStyle" Target="style8.xml"/><Relationship Id="rId2" Type="http://schemas.openxmlformats.org/officeDocument/2006/relationships/themeOverride" Target="../theme/themeOverride4.xml"/><Relationship Id="rId1" Type="http://schemas.openxmlformats.org/officeDocument/2006/relationships/package" Target="../embeddings/Workbook8.xlsx"/></Relationships>
</file>

<file path=word/charts/_rels/chart5.xml.rels><?xml version="1.0" encoding="UTF-8" standalone="yes"?>
<Relationships xmlns="http://schemas.openxmlformats.org/package/2006/relationships"><Relationship Id="rId4" Type="http://schemas.microsoft.com/office/2011/relationships/chartColorStyle" Target="colors4.xml"/><Relationship Id="rId3" Type="http://schemas.microsoft.com/office/2011/relationships/chartStyle" Target="style4.xml"/><Relationship Id="rId2" Type="http://schemas.openxmlformats.org/officeDocument/2006/relationships/themeOverride" Target="../theme/themeOverride3.xml"/><Relationship Id="rId1" Type="http://schemas.openxmlformats.org/officeDocument/2006/relationships/package" Target="../embeddings/Workbook4.xlsx"/></Relationships>
</file>

<file path=word/charts/_rels/chart6.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package" Target="../embeddings/Workbook5.xlsx"/></Relationships>
</file>

<file path=word/charts/_rels/chart7.xml.rels><?xml version="1.0" encoding="UTF-8" standalone="yes"?>
<Relationships xmlns="http://schemas.openxmlformats.org/package/2006/relationships"><Relationship Id="rId4" Type="http://schemas.microsoft.com/office/2011/relationships/chartColorStyle" Target="colors2.xml"/><Relationship Id="rId3" Type="http://schemas.microsoft.com/office/2011/relationships/chartStyle" Target="style2.xml"/><Relationship Id="rId2" Type="http://schemas.openxmlformats.org/officeDocument/2006/relationships/themeOverride" Target="../theme/themeOverride2.xml"/><Relationship Id="rId1" Type="http://schemas.openxmlformats.org/officeDocument/2006/relationships/package" Target="../embeddings/Workbook2.xlsx"/></Relationships>
</file>

<file path=word/charts/_rels/chart8.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package" Target="../embeddings/Workbook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A园区一日内不同时刻典型负荷</a:t>
            </a:r>
          </a:p>
        </c:rich>
      </c:tx>
      <c:layout/>
      <c:overlay val="0"/>
      <c:spPr>
        <a:noFill/>
        <a:ln>
          <a:noFill/>
        </a:ln>
        <a:effectLst/>
      </c:spPr>
    </c:title>
    <c:autoTitleDeleted val="0"/>
    <c:plotArea>
      <c:layout>
        <c:manualLayout>
          <c:layoutTarget val="inner"/>
          <c:xMode val="edge"/>
          <c:yMode val="edge"/>
          <c:x val="0.0650640251268422"/>
          <c:y val="0.164683382915427"/>
          <c:w val="0.908359507127325"/>
          <c:h val="0.583595410114747"/>
        </c:manualLayout>
      </c:layout>
      <c:lineChart>
        <c:grouping val="standard"/>
        <c:varyColors val="0"/>
        <c:ser>
          <c:idx val="0"/>
          <c:order val="0"/>
          <c:tx>
            <c:strRef>
              <c:f>Sheet1!$B$1</c:f>
              <c:strCache>
                <c:ptCount val="1"/>
                <c:pt idx="0">
                  <c:v>负荷（kw/h）</c:v>
                </c:pt>
              </c:strCache>
            </c:strRef>
          </c:tx>
          <c:spPr>
            <a:ln w="28575" cap="rnd">
              <a:solidFill>
                <a:schemeClr val="accent1"/>
              </a:solidFill>
              <a:round/>
            </a:ln>
            <a:effectLst/>
          </c:spPr>
          <c:marker>
            <c:symbol val="none"/>
          </c:marker>
          <c:dLbls>
            <c:dLbl>
              <c:idx val="1"/>
              <c:layout>
                <c:manualLayout>
                  <c:x val="-0.0374486590964001"/>
                  <c:y val="0.0106247343816405"/>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12080212611742"/>
                  <c:y val="0.0276243093922652"/>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507368929693163"/>
                  <c:y val="-0.0382490437739057"/>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338245953128775"/>
                  <c:y val="0.0191245218869528"/>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5"/>
              <c:layout>
                <c:manualLayout>
                  <c:x val="-0.0362406378352259"/>
                  <c:y val="-0.00424989375265618"/>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7"/>
              <c:layout>
                <c:manualLayout>
                  <c:x val="-0.0302005315293549"/>
                  <c:y val="-0.0637484062898428"/>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8"/>
              <c:layout>
                <c:manualLayout>
                  <c:x val="-0.0314085527905291"/>
                  <c:y val="-0.00637484062898428"/>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9"/>
              <c:layout>
                <c:manualLayout>
                  <c:x val="-0.0205363614399613"/>
                  <c:y val="-0.0191245218869528"/>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10"/>
              <c:layout>
                <c:manualLayout>
                  <c:x val="-0.0434887654022711"/>
                  <c:y val="0.0254993625159371"/>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11"/>
              <c:layout>
                <c:manualLayout>
                  <c:x val="-0.0471128291857937"/>
                  <c:y val="-0.00212494687632809"/>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12"/>
              <c:layout>
                <c:manualLayout>
                  <c:x val="-0.0229524039623097"/>
                  <c:y val="0.0106247343816405"/>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13"/>
              <c:layout>
                <c:manualLayout>
                  <c:x val="-0.0253684464846581"/>
                  <c:y val="-0.0169995750106247"/>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14"/>
              <c:layout>
                <c:manualLayout>
                  <c:x val="-0.0422807441410969"/>
                  <c:y val="0.0148746281342966"/>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15"/>
              <c:layout>
                <c:manualLayout>
                  <c:x val="-0.0157042763952646"/>
                  <c:y val="0.0424989375265618"/>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16"/>
              <c:layout>
                <c:manualLayout>
                  <c:x val="-0.0144962551340904"/>
                  <c:y val="-0.0106247343816405"/>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17"/>
              <c:layout>
                <c:manualLayout>
                  <c:x val="-0.0422807441410969"/>
                  <c:y val="0.023374415639609"/>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18"/>
              <c:layout>
                <c:manualLayout>
                  <c:x val="-0.0302005315293549"/>
                  <c:y val="-0.00849978750531237"/>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19"/>
              <c:layout>
                <c:manualLayout>
                  <c:x val="-0.0229524039623097"/>
                  <c:y val="0.0276243093922652"/>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20"/>
              <c:layout>
                <c:manualLayout>
                  <c:x val="-0.012080212611742"/>
                  <c:y val="-0.0382490437739057"/>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21"/>
              <c:layout>
                <c:manualLayout>
                  <c:x val="-0.0169122976564388"/>
                  <c:y val="0.0446238844028899"/>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22"/>
              <c:layout>
                <c:manualLayout>
                  <c:x val="0.00966417008939357"/>
                  <c:y val="-0.0403739906502337"/>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24"/>
              <c:layout>
                <c:manualLayout>
                  <c:x val="-0.0471128291857937"/>
                  <c:y val="0.070123246918827"/>
                </c:manualLayout>
              </c:layout>
              <c:dLblPos val="r"/>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Sheet1!$A$5:$A$29</c:f>
              <c:numCache>
                <c:formatCode>General</c:formatCode>
                <c:ptCount val="25"/>
                <c:pt idx="1" c:formatCode="h:mm;@">
                  <c:v>0</c:v>
                </c:pt>
                <c:pt idx="2" c:formatCode="h:mm;@">
                  <c:v>0.0416666666666667</c:v>
                </c:pt>
                <c:pt idx="3" c:formatCode="h:mm;@">
                  <c:v>0.0833333333333333</c:v>
                </c:pt>
                <c:pt idx="4" c:formatCode="h:mm;@">
                  <c:v>0.125</c:v>
                </c:pt>
                <c:pt idx="5" c:formatCode="h:mm;@">
                  <c:v>0.166666666666667</c:v>
                </c:pt>
                <c:pt idx="6" c:formatCode="h:mm;@">
                  <c:v>0.208333333333333</c:v>
                </c:pt>
                <c:pt idx="7" c:formatCode="h:mm;@">
                  <c:v>0.25</c:v>
                </c:pt>
                <c:pt idx="8" c:formatCode="h:mm;@">
                  <c:v>0.291666666666667</c:v>
                </c:pt>
                <c:pt idx="9" c:formatCode="h:mm;@">
                  <c:v>0.333333333333333</c:v>
                </c:pt>
                <c:pt idx="10" c:formatCode="h:mm;@">
                  <c:v>0.375</c:v>
                </c:pt>
                <c:pt idx="11" c:formatCode="h:mm;@">
                  <c:v>0.416666666666667</c:v>
                </c:pt>
                <c:pt idx="12" c:formatCode="h:mm;@">
                  <c:v>0.458333333333333</c:v>
                </c:pt>
                <c:pt idx="13" c:formatCode="h:mm;@">
                  <c:v>0.5</c:v>
                </c:pt>
                <c:pt idx="14" c:formatCode="h:mm;@">
                  <c:v>0.541666666666667</c:v>
                </c:pt>
                <c:pt idx="15" c:formatCode="h:mm;@">
                  <c:v>0.583333333333333</c:v>
                </c:pt>
                <c:pt idx="16" c:formatCode="h:mm;@">
                  <c:v>0.625</c:v>
                </c:pt>
                <c:pt idx="17" c:formatCode="h:mm;@">
                  <c:v>0.666666666666667</c:v>
                </c:pt>
                <c:pt idx="18" c:formatCode="h:mm;@">
                  <c:v>0.708333333333333</c:v>
                </c:pt>
                <c:pt idx="19" c:formatCode="h:mm;@">
                  <c:v>0.75</c:v>
                </c:pt>
                <c:pt idx="20" c:formatCode="h:mm;@">
                  <c:v>0.791666666666667</c:v>
                </c:pt>
                <c:pt idx="21" c:formatCode="h:mm;@">
                  <c:v>0.833333333333333</c:v>
                </c:pt>
                <c:pt idx="22" c:formatCode="h:mm;@">
                  <c:v>0.875</c:v>
                </c:pt>
                <c:pt idx="23" c:formatCode="h:mm;@">
                  <c:v>0.916666666666667</c:v>
                </c:pt>
                <c:pt idx="24" c:formatCode="h:mm;@">
                  <c:v>0.958333333333333</c:v>
                </c:pt>
              </c:numCache>
            </c:numRef>
          </c:cat>
          <c:val>
            <c:numRef>
              <c:f>Sheet1!$B$5:$B$29</c:f>
              <c:numCache>
                <c:formatCode>General</c:formatCode>
                <c:ptCount val="25"/>
                <c:pt idx="1" c:formatCode="0_ ">
                  <c:v>275</c:v>
                </c:pt>
                <c:pt idx="2" c:formatCode="0_ ">
                  <c:v>275</c:v>
                </c:pt>
                <c:pt idx="3" c:formatCode="0_ ">
                  <c:v>277</c:v>
                </c:pt>
                <c:pt idx="4" c:formatCode="0_ ">
                  <c:v>310</c:v>
                </c:pt>
                <c:pt idx="5" c:formatCode="0_ ">
                  <c:v>310</c:v>
                </c:pt>
                <c:pt idx="6" c:formatCode="0_ ">
                  <c:v>293</c:v>
                </c:pt>
                <c:pt idx="7" c:formatCode="0_ ">
                  <c:v>293</c:v>
                </c:pt>
                <c:pt idx="8" c:formatCode="0_ ">
                  <c:v>380</c:v>
                </c:pt>
                <c:pt idx="9" c:formatCode="0_ ">
                  <c:v>375</c:v>
                </c:pt>
                <c:pt idx="10" c:formatCode="0_ ">
                  <c:v>281</c:v>
                </c:pt>
                <c:pt idx="11" c:formatCode="0_ ">
                  <c:v>447</c:v>
                </c:pt>
                <c:pt idx="12" c:formatCode="0_ ">
                  <c:v>447</c:v>
                </c:pt>
                <c:pt idx="13" c:formatCode="0_ ">
                  <c:v>447</c:v>
                </c:pt>
                <c:pt idx="14" c:formatCode="0_ ">
                  <c:v>405</c:v>
                </c:pt>
                <c:pt idx="15" c:formatCode="0_ ">
                  <c:v>404</c:v>
                </c:pt>
                <c:pt idx="16" c:formatCode="0_ ">
                  <c:v>403</c:v>
                </c:pt>
                <c:pt idx="17" c:formatCode="0_ ">
                  <c:v>268</c:v>
                </c:pt>
                <c:pt idx="18" c:formatCode="0_ ">
                  <c:v>313</c:v>
                </c:pt>
                <c:pt idx="19" c:formatCode="0_ ">
                  <c:v>287</c:v>
                </c:pt>
                <c:pt idx="20" c:formatCode="0_ ">
                  <c:v>288</c:v>
                </c:pt>
                <c:pt idx="21" c:formatCode="0_ ">
                  <c:v>284</c:v>
                </c:pt>
                <c:pt idx="22" c:formatCode="0_ ">
                  <c:v>287</c:v>
                </c:pt>
                <c:pt idx="23" c:formatCode="0_ ">
                  <c:v>277</c:v>
                </c:pt>
                <c:pt idx="24" c:formatCode="0_ ">
                  <c:v>275</c:v>
                </c:pt>
              </c:numCache>
            </c:numRef>
          </c:val>
          <c:smooth val="0"/>
        </c:ser>
        <c:ser>
          <c:idx val="1"/>
          <c:order val="1"/>
          <c:tx>
            <c:strRef>
              <c:f>Sheet1!$C$1</c:f>
              <c:strCache>
                <c:ptCount val="1"/>
                <c:pt idx="0">
                  <c:v>系列 2</c:v>
                </c:pt>
              </c:strCache>
            </c:strRef>
          </c:tx>
          <c:spPr>
            <a:ln w="28575" cap="rnd">
              <a:solidFill>
                <a:schemeClr val="accent2"/>
              </a:solidFill>
              <a:round/>
            </a:ln>
            <a:effectLst/>
          </c:spPr>
          <c:marker>
            <c:symbol val="none"/>
          </c:marker>
          <c:dLbls>
            <c:dLbl>
              <c:idx val="0"/>
              <c:delete val="1"/>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Sheet1!$A$5:$A$29</c:f>
              <c:numCache>
                <c:formatCode>General</c:formatCode>
                <c:ptCount val="25"/>
                <c:pt idx="1" c:formatCode="h:mm;@">
                  <c:v>0</c:v>
                </c:pt>
                <c:pt idx="2" c:formatCode="h:mm;@">
                  <c:v>0.0416666666666667</c:v>
                </c:pt>
                <c:pt idx="3" c:formatCode="h:mm;@">
                  <c:v>0.0833333333333333</c:v>
                </c:pt>
                <c:pt idx="4" c:formatCode="h:mm;@">
                  <c:v>0.125</c:v>
                </c:pt>
                <c:pt idx="5" c:formatCode="h:mm;@">
                  <c:v>0.166666666666667</c:v>
                </c:pt>
                <c:pt idx="6" c:formatCode="h:mm;@">
                  <c:v>0.208333333333333</c:v>
                </c:pt>
                <c:pt idx="7" c:formatCode="h:mm;@">
                  <c:v>0.25</c:v>
                </c:pt>
                <c:pt idx="8" c:formatCode="h:mm;@">
                  <c:v>0.291666666666667</c:v>
                </c:pt>
                <c:pt idx="9" c:formatCode="h:mm;@">
                  <c:v>0.333333333333333</c:v>
                </c:pt>
                <c:pt idx="10" c:formatCode="h:mm;@">
                  <c:v>0.375</c:v>
                </c:pt>
                <c:pt idx="11" c:formatCode="h:mm;@">
                  <c:v>0.416666666666667</c:v>
                </c:pt>
                <c:pt idx="12" c:formatCode="h:mm;@">
                  <c:v>0.458333333333333</c:v>
                </c:pt>
                <c:pt idx="13" c:formatCode="h:mm;@">
                  <c:v>0.5</c:v>
                </c:pt>
                <c:pt idx="14" c:formatCode="h:mm;@">
                  <c:v>0.541666666666667</c:v>
                </c:pt>
                <c:pt idx="15" c:formatCode="h:mm;@">
                  <c:v>0.583333333333333</c:v>
                </c:pt>
                <c:pt idx="16" c:formatCode="h:mm;@">
                  <c:v>0.625</c:v>
                </c:pt>
                <c:pt idx="17" c:formatCode="h:mm;@">
                  <c:v>0.666666666666667</c:v>
                </c:pt>
                <c:pt idx="18" c:formatCode="h:mm;@">
                  <c:v>0.708333333333333</c:v>
                </c:pt>
                <c:pt idx="19" c:formatCode="h:mm;@">
                  <c:v>0.75</c:v>
                </c:pt>
                <c:pt idx="20" c:formatCode="h:mm;@">
                  <c:v>0.791666666666667</c:v>
                </c:pt>
                <c:pt idx="21" c:formatCode="h:mm;@">
                  <c:v>0.833333333333333</c:v>
                </c:pt>
                <c:pt idx="22" c:formatCode="h:mm;@">
                  <c:v>0.875</c:v>
                </c:pt>
                <c:pt idx="23" c:formatCode="h:mm;@">
                  <c:v>0.916666666666667</c:v>
                </c:pt>
                <c:pt idx="24" c:formatCode="h:mm;@">
                  <c:v>0.958333333333333</c:v>
                </c:pt>
              </c:numCache>
            </c:numRef>
          </c:cat>
          <c:val>
            <c:numRef>
              <c:f>Sheet1!$C$5:$C$29</c:f>
              <c:numCache>
                <c:formatCode>General</c:formatCode>
                <c:ptCount val="25"/>
                <c:pt idx="0">
                  <c:v>2.8</c:v>
                </c:pt>
              </c:numCache>
            </c:numRef>
          </c:val>
          <c:smooth val="0"/>
        </c:ser>
        <c:ser>
          <c:idx val="2"/>
          <c:order val="2"/>
          <c:tx>
            <c:strRef>
              <c:f>Sheet1!$D$1</c:f>
              <c:strCache>
                <c:ptCount val="1"/>
                <c:pt idx="0">
                  <c:v>系列 3</c:v>
                </c:pt>
              </c:strCache>
            </c:strRef>
          </c:tx>
          <c:spPr>
            <a:ln w="28575" cap="rnd">
              <a:solidFill>
                <a:schemeClr val="accent3"/>
              </a:solidFill>
              <a:round/>
            </a:ln>
            <a:effectLst/>
          </c:spPr>
          <c:marker>
            <c:symbol val="none"/>
          </c:marker>
          <c:dLbls>
            <c:dLbl>
              <c:idx val="0"/>
              <c:delete val="1"/>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Sheet1!$A$5:$A$29</c:f>
              <c:numCache>
                <c:formatCode>General</c:formatCode>
                <c:ptCount val="25"/>
                <c:pt idx="1" c:formatCode="h:mm;@">
                  <c:v>0</c:v>
                </c:pt>
                <c:pt idx="2" c:formatCode="h:mm;@">
                  <c:v>0.0416666666666667</c:v>
                </c:pt>
                <c:pt idx="3" c:formatCode="h:mm;@">
                  <c:v>0.0833333333333333</c:v>
                </c:pt>
                <c:pt idx="4" c:formatCode="h:mm;@">
                  <c:v>0.125</c:v>
                </c:pt>
                <c:pt idx="5" c:formatCode="h:mm;@">
                  <c:v>0.166666666666667</c:v>
                </c:pt>
                <c:pt idx="6" c:formatCode="h:mm;@">
                  <c:v>0.208333333333333</c:v>
                </c:pt>
                <c:pt idx="7" c:formatCode="h:mm;@">
                  <c:v>0.25</c:v>
                </c:pt>
                <c:pt idx="8" c:formatCode="h:mm;@">
                  <c:v>0.291666666666667</c:v>
                </c:pt>
                <c:pt idx="9" c:formatCode="h:mm;@">
                  <c:v>0.333333333333333</c:v>
                </c:pt>
                <c:pt idx="10" c:formatCode="h:mm;@">
                  <c:v>0.375</c:v>
                </c:pt>
                <c:pt idx="11" c:formatCode="h:mm;@">
                  <c:v>0.416666666666667</c:v>
                </c:pt>
                <c:pt idx="12" c:formatCode="h:mm;@">
                  <c:v>0.458333333333333</c:v>
                </c:pt>
                <c:pt idx="13" c:formatCode="h:mm;@">
                  <c:v>0.5</c:v>
                </c:pt>
                <c:pt idx="14" c:formatCode="h:mm;@">
                  <c:v>0.541666666666667</c:v>
                </c:pt>
                <c:pt idx="15" c:formatCode="h:mm;@">
                  <c:v>0.583333333333333</c:v>
                </c:pt>
                <c:pt idx="16" c:formatCode="h:mm;@">
                  <c:v>0.625</c:v>
                </c:pt>
                <c:pt idx="17" c:formatCode="h:mm;@">
                  <c:v>0.666666666666667</c:v>
                </c:pt>
                <c:pt idx="18" c:formatCode="h:mm;@">
                  <c:v>0.708333333333333</c:v>
                </c:pt>
                <c:pt idx="19" c:formatCode="h:mm;@">
                  <c:v>0.75</c:v>
                </c:pt>
                <c:pt idx="20" c:formatCode="h:mm;@">
                  <c:v>0.791666666666667</c:v>
                </c:pt>
                <c:pt idx="21" c:formatCode="h:mm;@">
                  <c:v>0.833333333333333</c:v>
                </c:pt>
                <c:pt idx="22" c:formatCode="h:mm;@">
                  <c:v>0.875</c:v>
                </c:pt>
                <c:pt idx="23" c:formatCode="h:mm;@">
                  <c:v>0.916666666666667</c:v>
                </c:pt>
                <c:pt idx="24" c:formatCode="h:mm;@">
                  <c:v>0.958333333333333</c:v>
                </c:pt>
              </c:numCache>
            </c:numRef>
          </c:cat>
          <c:val>
            <c:numRef>
              <c:f>Sheet1!$D$5:$D$29</c:f>
              <c:numCache>
                <c:formatCode>General</c:formatCode>
                <c:ptCount val="25"/>
                <c:pt idx="0">
                  <c:v>5</c:v>
                </c:pt>
              </c:numCache>
            </c:numRef>
          </c:val>
          <c:smooth val="0"/>
        </c:ser>
        <c:dLbls>
          <c:showLegendKey val="0"/>
          <c:showVal val="1"/>
          <c:showCatName val="0"/>
          <c:showSerName val="0"/>
          <c:showPercent val="0"/>
          <c:showBubbleSize val="0"/>
        </c:dLbls>
        <c:marker val="0"/>
        <c:smooth val="0"/>
        <c:axId val="911348183"/>
        <c:axId val="917877425"/>
      </c:lineChart>
      <c:catAx>
        <c:axId val="911348183"/>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17877425"/>
        <c:crosses val="autoZero"/>
        <c:auto val="1"/>
        <c:lblAlgn val="ctr"/>
        <c:lblOffset val="100"/>
        <c:noMultiLvlLbl val="0"/>
      </c:catAx>
      <c:valAx>
        <c:axId val="917877425"/>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11348183"/>
        <c:crosses val="autoZero"/>
        <c:crossBetween val="between"/>
      </c:valAx>
      <c:spPr>
        <a:noFill/>
        <a:ln>
          <a:noFill/>
        </a:ln>
        <a:effectLst/>
      </c:spPr>
    </c:plotArea>
    <c:legend>
      <c:legendPos val="b"/>
      <c:legendEntry>
        <c:idx val="1"/>
        <c:delete val="1"/>
      </c:legendEntry>
      <c:legendEntry>
        <c:idx val="2"/>
        <c:delete val="1"/>
      </c:legendEntry>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c1a4e08a-8259-415e-bfd3-7c42c18e356c}"/>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A园区一日内不同时刻光伏发电</a:t>
            </a:r>
          </a:p>
        </c:rich>
      </c:tx>
      <c:layout/>
      <c:overlay val="0"/>
      <c:spPr>
        <a:noFill/>
        <a:ln>
          <a:noFill/>
        </a:ln>
        <a:effectLst/>
      </c:spPr>
    </c:title>
    <c:autoTitleDeleted val="0"/>
    <c:plotArea>
      <c:layout/>
      <c:lineChart>
        <c:grouping val="standard"/>
        <c:varyColors val="0"/>
        <c:ser>
          <c:idx val="2"/>
          <c:order val="0"/>
          <c:tx>
            <c:strRef>
              <c:f>Sheet1!$D$1</c:f>
              <c:strCache>
                <c:ptCount val="1"/>
                <c:pt idx="0">
                  <c:v>发电量（p.u.）</c:v>
                </c:pt>
              </c:strCache>
            </c:strRef>
          </c:tx>
          <c:spPr>
            <a:ln w="28575" cap="rnd">
              <a:solidFill>
                <a:schemeClr val="accent3"/>
              </a:solidFill>
              <a:round/>
            </a:ln>
            <a:effectLst/>
          </c:spPr>
          <c:marker>
            <c:symbol val="none"/>
          </c:marker>
          <c:dLbls>
            <c:dLbl>
              <c:idx val="0"/>
              <c:delete val="1"/>
            </c:dLbl>
            <c:dLbl>
              <c:idx val="1"/>
              <c:delete val="1"/>
            </c:dLbl>
            <c:dLbl>
              <c:idx val="2"/>
              <c:delete val="1"/>
            </c:dLbl>
            <c:dLbl>
              <c:idx val="3"/>
              <c:delete val="1"/>
            </c:dLbl>
            <c:dLbl>
              <c:idx val="4"/>
              <c:delete val="1"/>
            </c:dLbl>
            <c:dLbl>
              <c:idx val="5"/>
              <c:delete val="1"/>
            </c:dLbl>
            <c:dLbl>
              <c:idx val="6"/>
              <c:layout>
                <c:manualLayout>
                  <c:x val="-0.0604010630587098"/>
                  <c:y val="-0.0106247343816405"/>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7"/>
              <c:layout>
                <c:manualLayout>
                  <c:x val="-0.018120318917613"/>
                  <c:y val="-0.0106247343816405"/>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11"/>
              <c:layout>
                <c:manualLayout>
                  <c:x val="-0.0302005315293549"/>
                  <c:y val="-0.0254993625159371"/>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12"/>
              <c:layout>
                <c:manualLayout>
                  <c:x val="0.00604010630587098"/>
                  <c:y val="0"/>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18"/>
              <c:delete val="1"/>
            </c:dLbl>
            <c:dLbl>
              <c:idx val="19"/>
              <c:delete val="1"/>
            </c:dLbl>
            <c:dLbl>
              <c:idx val="20"/>
              <c:delete val="1"/>
            </c:dLbl>
            <c:dLbl>
              <c:idx val="21"/>
              <c:delete val="1"/>
            </c:dLbl>
            <c:dLbl>
              <c:idx val="22"/>
              <c:delete val="1"/>
            </c:dLbl>
            <c:dLbl>
              <c:idx val="23"/>
              <c:delete val="1"/>
            </c:dLbl>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spPr>
                    <a:ln w="9525" cap="flat" cmpd="sng" algn="ctr">
                      <a:solidFill>
                        <a:schemeClr val="tx1">
                          <a:lumMod val="35000"/>
                          <a:lumOff val="65000"/>
                        </a:schemeClr>
                      </a:solidFill>
                      <a:round/>
                    </a:ln>
                    <a:effectLst/>
                  </c:spPr>
                </c15:leaderLines>
              </c:ext>
            </c:extLst>
          </c:dLbls>
          <c:cat>
            <c:numRef>
              <c:f>Sheet1!$A$6:$A$29</c:f>
              <c:numCache>
                <c:formatCode>h:mm;@</c:formatCode>
                <c:ptCount val="24"/>
                <c:pt idx="0" c:formatCode="h:mm;@">
                  <c:v>0</c:v>
                </c:pt>
                <c:pt idx="1" c:formatCode="h:mm;@">
                  <c:v>0.0416666666666667</c:v>
                </c:pt>
                <c:pt idx="2" c:formatCode="h:mm;@">
                  <c:v>0.0833333333333333</c:v>
                </c:pt>
                <c:pt idx="3" c:formatCode="h:mm;@">
                  <c:v>0.125</c:v>
                </c:pt>
                <c:pt idx="4" c:formatCode="h:mm;@">
                  <c:v>0.166666666666667</c:v>
                </c:pt>
                <c:pt idx="5" c:formatCode="h:mm;@">
                  <c:v>0.208333333333333</c:v>
                </c:pt>
                <c:pt idx="6" c:formatCode="h:mm;@">
                  <c:v>0.25</c:v>
                </c:pt>
                <c:pt idx="7" c:formatCode="h:mm;@">
                  <c:v>0.291666666666667</c:v>
                </c:pt>
                <c:pt idx="8" c:formatCode="h:mm;@">
                  <c:v>0.333333333333333</c:v>
                </c:pt>
                <c:pt idx="9" c:formatCode="h:mm;@">
                  <c:v>0.375</c:v>
                </c:pt>
                <c:pt idx="10" c:formatCode="h:mm;@">
                  <c:v>0.416666666666667</c:v>
                </c:pt>
                <c:pt idx="11" c:formatCode="h:mm;@">
                  <c:v>0.458333333333333</c:v>
                </c:pt>
                <c:pt idx="12" c:formatCode="h:mm;@">
                  <c:v>0.5</c:v>
                </c:pt>
                <c:pt idx="13" c:formatCode="h:mm;@">
                  <c:v>0.541666666666667</c:v>
                </c:pt>
                <c:pt idx="14" c:formatCode="h:mm;@">
                  <c:v>0.583333333333333</c:v>
                </c:pt>
                <c:pt idx="15" c:formatCode="h:mm;@">
                  <c:v>0.625</c:v>
                </c:pt>
                <c:pt idx="16" c:formatCode="h:mm;@">
                  <c:v>0.666666666666667</c:v>
                </c:pt>
                <c:pt idx="17" c:formatCode="h:mm;@">
                  <c:v>0.708333333333333</c:v>
                </c:pt>
                <c:pt idx="18" c:formatCode="h:mm;@">
                  <c:v>0.75</c:v>
                </c:pt>
                <c:pt idx="19" c:formatCode="h:mm;@">
                  <c:v>0.791666666666667</c:v>
                </c:pt>
                <c:pt idx="20" c:formatCode="h:mm;@">
                  <c:v>0.833333333333333</c:v>
                </c:pt>
                <c:pt idx="21" c:formatCode="h:mm;@">
                  <c:v>0.875</c:v>
                </c:pt>
                <c:pt idx="22" c:formatCode="h:mm;@">
                  <c:v>0.916666666666667</c:v>
                </c:pt>
                <c:pt idx="23" c:formatCode="h:mm;@">
                  <c:v>0.958333333333333</c:v>
                </c:pt>
              </c:numCache>
            </c:numRef>
          </c:cat>
          <c:val>
            <c:numRef>
              <c:f>Sheet1!$D$6:$D$29</c:f>
              <c:numCache>
                <c:formatCode>0.0000</c:formatCode>
                <c:ptCount val="24"/>
                <c:pt idx="0">
                  <c:v>0</c:v>
                </c:pt>
                <c:pt idx="1">
                  <c:v>0</c:v>
                </c:pt>
                <c:pt idx="2">
                  <c:v>0</c:v>
                </c:pt>
                <c:pt idx="3">
                  <c:v>0</c:v>
                </c:pt>
                <c:pt idx="4">
                  <c:v>0</c:v>
                </c:pt>
                <c:pt idx="5">
                  <c:v>0</c:v>
                </c:pt>
                <c:pt idx="6">
                  <c:v>0</c:v>
                </c:pt>
                <c:pt idx="7">
                  <c:v>0.0058</c:v>
                </c:pt>
                <c:pt idx="8">
                  <c:v>0.3026</c:v>
                </c:pt>
                <c:pt idx="9">
                  <c:v>0.602</c:v>
                </c:pt>
                <c:pt idx="10">
                  <c:v>0.7711</c:v>
                </c:pt>
                <c:pt idx="11">
                  <c:v>0.8555</c:v>
                </c:pt>
                <c:pt idx="12">
                  <c:v>0.8531</c:v>
                </c:pt>
                <c:pt idx="13">
                  <c:v>0.7842</c:v>
                </c:pt>
                <c:pt idx="14">
                  <c:v>0.6437</c:v>
                </c:pt>
                <c:pt idx="15">
                  <c:v>0.4242</c:v>
                </c:pt>
                <c:pt idx="16">
                  <c:v>0.0619</c:v>
                </c:pt>
                <c:pt idx="17">
                  <c:v>0</c:v>
                </c:pt>
                <c:pt idx="18">
                  <c:v>0</c:v>
                </c:pt>
                <c:pt idx="19">
                  <c:v>0</c:v>
                </c:pt>
                <c:pt idx="20">
                  <c:v>0</c:v>
                </c:pt>
                <c:pt idx="21">
                  <c:v>0</c:v>
                </c:pt>
                <c:pt idx="22">
                  <c:v>0</c:v>
                </c:pt>
                <c:pt idx="23">
                  <c:v>0</c:v>
                </c:pt>
              </c:numCache>
            </c:numRef>
          </c:val>
          <c:smooth val="0"/>
        </c:ser>
        <c:dLbls>
          <c:showLegendKey val="0"/>
          <c:showVal val="1"/>
          <c:showCatName val="0"/>
          <c:showSerName val="0"/>
          <c:showPercent val="0"/>
          <c:showBubbleSize val="0"/>
        </c:dLbls>
        <c:marker val="0"/>
        <c:smooth val="0"/>
        <c:axId val="471765385"/>
        <c:axId val="828397583"/>
      </c:lineChart>
      <c:catAx>
        <c:axId val="47176538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28397583"/>
        <c:crosses val="autoZero"/>
        <c:auto val="1"/>
        <c:lblAlgn val="ctr"/>
        <c:lblOffset val="100"/>
        <c:noMultiLvlLbl val="0"/>
      </c:catAx>
      <c:valAx>
        <c:axId val="828397583"/>
        <c:scaling>
          <c:orientation val="minMax"/>
        </c:scaling>
        <c:delete val="1"/>
        <c:axPos val="l"/>
        <c:numFmt formatCode="0.0000" sourceLinked="1"/>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71765385"/>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ffa47df5-1991-4bf0-b988-436a1bd2800f}"/>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forceAA="0"/>
          <a:lstStyle/>
          <a:p>
            <a:pPr defTabSz="914400">
              <a:defRPr lang="zh-CN" sz="1080" b="0" i="0" u="none" strike="noStrike" kern="1200" spc="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B</a:t>
            </a:r>
            <a:r>
              <a:rPr altLang="en-US"/>
              <a:t>园区一日内不同时刻典型负荷</a:t>
            </a:r>
            <a:endParaRPr lang="en-US" altLang="zh-CN"/>
          </a:p>
        </c:rich>
      </c:tx>
      <c:layout/>
      <c:overlay val="0"/>
      <c:spPr>
        <a:noFill/>
        <a:ln>
          <a:noFill/>
        </a:ln>
        <a:effectLst/>
      </c:spPr>
    </c:title>
    <c:autoTitleDeleted val="0"/>
    <c:plotArea>
      <c:layout/>
      <c:lineChart>
        <c:grouping val="standard"/>
        <c:varyColors val="0"/>
        <c:ser>
          <c:idx val="2"/>
          <c:order val="0"/>
          <c:tx>
            <c:strRef>
              <c:f>Sheet1!$D$1</c:f>
              <c:strCache>
                <c:ptCount val="1"/>
                <c:pt idx="0">
                  <c:v>负荷（kw/h)</c:v>
                </c:pt>
              </c:strCache>
            </c:strRef>
          </c:tx>
          <c:spPr>
            <a:ln w="28575" cap="rnd">
              <a:solidFill>
                <a:schemeClr val="accent3"/>
              </a:solidFill>
              <a:round/>
            </a:ln>
            <a:effectLst/>
          </c:spPr>
          <c:marker>
            <c:symbol val="none"/>
          </c:marker>
          <c:dLbls>
            <c:numFmt formatCode="General" sourceLinked="1"/>
            <c:spPr>
              <a:noFill/>
              <a:ln>
                <a:noFill/>
              </a:ln>
              <a:effectLst/>
            </c:spPr>
            <c:txPr>
              <a:bodyPr rot="0" spcFirstLastPara="0" vertOverflow="ellipsis" vert="horz" wrap="square" lIns="38100" tIns="19050" rIns="38100" bIns="19050" anchor="ctr" anchorCtr="1" forceAA="0"/>
              <a:lstStyle/>
              <a:p>
                <a:pPr>
                  <a:defRPr lang="zh-CN" sz="900" b="1" i="0" u="none" strike="noStrike" kern="1200" baseline="0">
                    <a:solidFill>
                      <a:schemeClr val="accent3"/>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spPr>
                    <a:ln w="9525" cap="flat" cmpd="sng" algn="ctr">
                      <a:solidFill>
                        <a:schemeClr val="tx1">
                          <a:lumMod val="35000"/>
                          <a:lumOff val="65000"/>
                        </a:schemeClr>
                      </a:solidFill>
                      <a:round/>
                    </a:ln>
                    <a:effectLst/>
                  </c:spPr>
                </c15:leaderLines>
              </c:ext>
            </c:extLst>
          </c:dLbls>
          <c:cat>
            <c:numRef>
              <c:f>Sheet1!$A$6:$A$29</c:f>
              <c:numCache>
                <c:formatCode>h:mm;@</c:formatCode>
                <c:ptCount val="24"/>
                <c:pt idx="0" c:formatCode="h:mm;@">
                  <c:v>0</c:v>
                </c:pt>
                <c:pt idx="1" c:formatCode="h:mm;@">
                  <c:v>0.0416666666666667</c:v>
                </c:pt>
                <c:pt idx="2" c:formatCode="h:mm;@">
                  <c:v>0.0833333333333333</c:v>
                </c:pt>
                <c:pt idx="3" c:formatCode="h:mm;@">
                  <c:v>0.125</c:v>
                </c:pt>
                <c:pt idx="4" c:formatCode="h:mm;@">
                  <c:v>0.166666666666667</c:v>
                </c:pt>
                <c:pt idx="5" c:formatCode="h:mm;@">
                  <c:v>0.208333333333333</c:v>
                </c:pt>
                <c:pt idx="6" c:formatCode="h:mm;@">
                  <c:v>0.25</c:v>
                </c:pt>
                <c:pt idx="7" c:formatCode="h:mm;@">
                  <c:v>0.291666666666667</c:v>
                </c:pt>
                <c:pt idx="8" c:formatCode="h:mm;@">
                  <c:v>0.333333333333333</c:v>
                </c:pt>
                <c:pt idx="9" c:formatCode="h:mm;@">
                  <c:v>0.375</c:v>
                </c:pt>
                <c:pt idx="10" c:formatCode="h:mm;@">
                  <c:v>0.416666666666667</c:v>
                </c:pt>
                <c:pt idx="11" c:formatCode="h:mm;@">
                  <c:v>0.458333333333333</c:v>
                </c:pt>
                <c:pt idx="12" c:formatCode="h:mm;@">
                  <c:v>0.5</c:v>
                </c:pt>
                <c:pt idx="13" c:formatCode="h:mm;@">
                  <c:v>0.541666666666667</c:v>
                </c:pt>
                <c:pt idx="14" c:formatCode="h:mm;@">
                  <c:v>0.583333333333333</c:v>
                </c:pt>
                <c:pt idx="15" c:formatCode="h:mm;@">
                  <c:v>0.625</c:v>
                </c:pt>
                <c:pt idx="16" c:formatCode="h:mm;@">
                  <c:v>0.666666666666667</c:v>
                </c:pt>
                <c:pt idx="17" c:formatCode="h:mm;@">
                  <c:v>0.708333333333333</c:v>
                </c:pt>
                <c:pt idx="18" c:formatCode="h:mm;@">
                  <c:v>0.75</c:v>
                </c:pt>
                <c:pt idx="19" c:formatCode="h:mm;@">
                  <c:v>0.791666666666667</c:v>
                </c:pt>
                <c:pt idx="20" c:formatCode="h:mm;@">
                  <c:v>0.833333333333333</c:v>
                </c:pt>
                <c:pt idx="21" c:formatCode="h:mm;@">
                  <c:v>0.875</c:v>
                </c:pt>
                <c:pt idx="22" c:formatCode="h:mm;@">
                  <c:v>0.916666666666667</c:v>
                </c:pt>
                <c:pt idx="23" c:formatCode="h:mm;@">
                  <c:v>0.958333333333333</c:v>
                </c:pt>
              </c:numCache>
            </c:numRef>
          </c:cat>
          <c:val>
            <c:numRef>
              <c:f>Sheet1!$D$6:$D$29</c:f>
              <c:numCache>
                <c:formatCode>0_ </c:formatCode>
                <c:ptCount val="24"/>
                <c:pt idx="0">
                  <c:v>241</c:v>
                </c:pt>
                <c:pt idx="1">
                  <c:v>253</c:v>
                </c:pt>
                <c:pt idx="2">
                  <c:v>329</c:v>
                </c:pt>
                <c:pt idx="3">
                  <c:v>315</c:v>
                </c:pt>
                <c:pt idx="4">
                  <c:v>290</c:v>
                </c:pt>
                <c:pt idx="5">
                  <c:v>270</c:v>
                </c:pt>
                <c:pt idx="6">
                  <c:v>307</c:v>
                </c:pt>
                <c:pt idx="7">
                  <c:v>354</c:v>
                </c:pt>
                <c:pt idx="8">
                  <c:v>264</c:v>
                </c:pt>
                <c:pt idx="9">
                  <c:v>315</c:v>
                </c:pt>
                <c:pt idx="10">
                  <c:v>313</c:v>
                </c:pt>
                <c:pt idx="11">
                  <c:v>291</c:v>
                </c:pt>
                <c:pt idx="12">
                  <c:v>360</c:v>
                </c:pt>
                <c:pt idx="13">
                  <c:v>369</c:v>
                </c:pt>
                <c:pt idx="14">
                  <c:v>389</c:v>
                </c:pt>
                <c:pt idx="15">
                  <c:v>419</c:v>
                </c:pt>
                <c:pt idx="16">
                  <c:v>412</c:v>
                </c:pt>
                <c:pt idx="17">
                  <c:v>291</c:v>
                </c:pt>
                <c:pt idx="18">
                  <c:v>379</c:v>
                </c:pt>
                <c:pt idx="19">
                  <c:v>303</c:v>
                </c:pt>
                <c:pt idx="20">
                  <c:v>331</c:v>
                </c:pt>
                <c:pt idx="21">
                  <c:v>306</c:v>
                </c:pt>
                <c:pt idx="22">
                  <c:v>285</c:v>
                </c:pt>
                <c:pt idx="23">
                  <c:v>324</c:v>
                </c:pt>
              </c:numCache>
            </c:numRef>
          </c:val>
          <c:smooth val="0"/>
        </c:ser>
        <c:dLbls>
          <c:showLegendKey val="0"/>
          <c:showVal val="1"/>
          <c:showCatName val="0"/>
          <c:showSerName val="0"/>
          <c:showPercent val="0"/>
          <c:showBubbleSize val="0"/>
        </c:dLbls>
        <c:dropLines>
          <c:spPr>
            <a:ln w="9525" cap="flat" cmpd="sng" algn="ctr">
              <a:gradFill>
                <a:gsLst>
                  <a:gs pos="0">
                    <a:schemeClr val="accent1"/>
                  </a:gs>
                  <a:gs pos="100000">
                    <a:schemeClr val="bg1"/>
                  </a:gs>
                </a:gsLst>
                <a:lin ang="5400000" scaled="1"/>
              </a:gradFill>
              <a:round/>
            </a:ln>
            <a:effectLst/>
          </c:spPr>
        </c:dropLines>
        <c:marker val="0"/>
        <c:smooth val="0"/>
        <c:axId val="37741371"/>
        <c:axId val="487051556"/>
      </c:lineChart>
      <c:catAx>
        <c:axId val="37741371"/>
        <c:scaling>
          <c:orientation val="minMax"/>
        </c:scaling>
        <c:delete val="0"/>
        <c:axPos val="b"/>
        <c:numFmt formatCode="General" sourceLinked="1"/>
        <c:majorTickMark val="none"/>
        <c:minorTickMark val="none"/>
        <c:tickLblPos val="nextTo"/>
        <c:spPr>
          <a:noFill/>
          <a:ln w="6350" cap="flat" cmpd="sng" algn="ctr">
            <a:solidFill>
              <a:schemeClr val="tx1">
                <a:lumMod val="50000"/>
                <a:lumOff val="50000"/>
                <a:alpha val="25000"/>
              </a:schemeClr>
            </a:solidFill>
            <a:round/>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487051556"/>
        <c:crosses val="autoZero"/>
        <c:auto val="1"/>
        <c:lblAlgn val="ctr"/>
        <c:lblOffset val="100"/>
        <c:noMultiLvlLbl val="0"/>
      </c:catAx>
      <c:valAx>
        <c:axId val="487051556"/>
        <c:scaling>
          <c:orientation val="minMax"/>
        </c:scaling>
        <c:delete val="1"/>
        <c:axPos val="l"/>
        <c:numFmt formatCode="0_ " sourceLinked="1"/>
        <c:majorTickMark val="none"/>
        <c:minorTickMark val="none"/>
        <c:tickLblPos val="nextTo"/>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37741371"/>
        <c:crosses val="autoZero"/>
        <c:crossBetween val="between"/>
      </c:valAx>
      <c:spPr>
        <a:noFill/>
        <a:ln>
          <a:noFill/>
        </a:ln>
        <a:effectLst/>
      </c:spPr>
    </c:plotArea>
    <c:plotVisOnly val="1"/>
    <c:dispBlanksAs val="gap"/>
    <c:showDLblsOverMax val="0"/>
    <c:extLst>
      <c:ext uri="{0b15fc19-7d7d-44ad-8c2d-2c3a37ce22c3}">
        <chartProps xmlns="https://web.wps.cn/et/2018/main" chartId="{f1f9ece2-d74f-40a5-b008-f13243847f88}"/>
      </c:ext>
    </c:extLst>
  </c:chart>
  <c:spPr>
    <a:solidFill>
      <a:schemeClr val="bg1"/>
    </a:solidFill>
    <a:ln w="6350" cap="flat" cmpd="sng" algn="ctr">
      <a:solidFill>
        <a:schemeClr val="tx1">
          <a:lumMod val="50000"/>
          <a:lumOff val="50000"/>
          <a:alpha val="25000"/>
        </a:schemeClr>
      </a:solidFill>
      <a:round/>
    </a:ln>
    <a:effectLst>
      <a:outerShdw blurRad="63500" dist="37357" dir="2700000" sx="0" sy="0" rotWithShape="0">
        <a:scrgbClr r="0" g="0" b="0"/>
      </a:outerShdw>
    </a:effectLst>
  </c:spPr>
  <c:txPr>
    <a:bodyPr/>
    <a:lstStyle/>
    <a:p>
      <a:pPr>
        <a:defRPr lang="zh-CN" sz="90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forceAA="0"/>
          <a:lstStyle/>
          <a:p>
            <a:pPr defTabSz="914400">
              <a:defRPr lang="zh-CN" sz="1080" b="0" i="0" u="none" strike="noStrike" kern="1200" spc="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B</a:t>
            </a:r>
            <a:r>
              <a:rPr altLang="en-US"/>
              <a:t>园区一日内不同时刻风力发电</a:t>
            </a:r>
            <a:endParaRPr lang="en-US" altLang="zh-CN"/>
          </a:p>
        </c:rich>
      </c:tx>
      <c:layout>
        <c:manualLayout>
          <c:xMode val="edge"/>
          <c:yMode val="edge"/>
          <c:x val="0.322662478859628"/>
          <c:y val="0.0212494687632809"/>
        </c:manualLayout>
      </c:layout>
      <c:overlay val="0"/>
      <c:spPr>
        <a:noFill/>
        <a:ln>
          <a:noFill/>
        </a:ln>
        <a:effectLst/>
      </c:spPr>
    </c:title>
    <c:autoTitleDeleted val="0"/>
    <c:plotArea>
      <c:layout/>
      <c:lineChart>
        <c:grouping val="standard"/>
        <c:varyColors val="0"/>
        <c:ser>
          <c:idx val="1"/>
          <c:order val="0"/>
          <c:tx>
            <c:strRef>
              <c:f>Sheet1!$C$1</c:f>
              <c:strCache>
                <c:ptCount val="1"/>
                <c:pt idx="0">
                  <c:v/>
                </c:pt>
              </c:strCache>
            </c:strRef>
          </c:tx>
          <c:spPr>
            <a:ln w="28575" cap="rnd">
              <a:solidFill>
                <a:schemeClr val="accent2"/>
              </a:solidFill>
              <a:round/>
            </a:ln>
            <a:effectLst/>
          </c:spPr>
          <c:marker>
            <c:symbol val="none"/>
          </c:marker>
          <c:dLbls>
            <c:numFmt formatCode="General" sourceLinked="1"/>
            <c:spPr>
              <a:noFill/>
              <a:ln>
                <a:noFill/>
              </a:ln>
              <a:effectLst/>
            </c:spPr>
            <c:txPr>
              <a:bodyPr rot="0" spcFirstLastPara="0" vertOverflow="ellipsis" vert="horz" wrap="square" lIns="38100" tIns="19050" rIns="38100" bIns="19050" anchor="ctr" anchorCtr="1" forceAA="0"/>
              <a:lstStyle/>
              <a:p>
                <a:pPr>
                  <a:defRPr lang="zh-CN" sz="900" b="1" i="0" u="none" strike="noStrike" kern="1200" baseline="0">
                    <a:solidFill>
                      <a:schemeClr val="accent2"/>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spPr>
                    <a:ln w="9525" cap="flat" cmpd="sng" algn="ctr">
                      <a:solidFill>
                        <a:schemeClr val="tx1">
                          <a:lumMod val="35000"/>
                          <a:lumOff val="65000"/>
                        </a:schemeClr>
                      </a:solidFill>
                      <a:round/>
                    </a:ln>
                    <a:effectLst/>
                  </c:spPr>
                </c15:leaderLines>
              </c:ext>
            </c:extLst>
          </c:dLbls>
          <c:cat>
            <c:numRef>
              <c:f>Sheet1!$A$6:$A$29</c:f>
              <c:numCache>
                <c:formatCode>h:mm;@</c:formatCode>
                <c:ptCount val="24"/>
                <c:pt idx="0" c:formatCode="h:mm;@">
                  <c:v>0</c:v>
                </c:pt>
                <c:pt idx="1" c:formatCode="h:mm;@">
                  <c:v>0.0416666666666667</c:v>
                </c:pt>
                <c:pt idx="2" c:formatCode="h:mm;@">
                  <c:v>0.0833333333333333</c:v>
                </c:pt>
                <c:pt idx="3" c:formatCode="h:mm;@">
                  <c:v>0.125</c:v>
                </c:pt>
                <c:pt idx="4" c:formatCode="h:mm;@">
                  <c:v>0.166666666666667</c:v>
                </c:pt>
                <c:pt idx="5" c:formatCode="h:mm;@">
                  <c:v>0.208333333333333</c:v>
                </c:pt>
                <c:pt idx="6" c:formatCode="h:mm;@">
                  <c:v>0.25</c:v>
                </c:pt>
                <c:pt idx="7" c:formatCode="h:mm;@">
                  <c:v>0.291666666666667</c:v>
                </c:pt>
                <c:pt idx="8" c:formatCode="h:mm;@">
                  <c:v>0.333333333333333</c:v>
                </c:pt>
                <c:pt idx="9" c:formatCode="h:mm;@">
                  <c:v>0.375</c:v>
                </c:pt>
                <c:pt idx="10" c:formatCode="h:mm;@">
                  <c:v>0.416666666666667</c:v>
                </c:pt>
                <c:pt idx="11" c:formatCode="h:mm;@">
                  <c:v>0.458333333333333</c:v>
                </c:pt>
                <c:pt idx="12" c:formatCode="h:mm;@">
                  <c:v>0.5</c:v>
                </c:pt>
                <c:pt idx="13" c:formatCode="h:mm;@">
                  <c:v>0.541666666666667</c:v>
                </c:pt>
                <c:pt idx="14" c:formatCode="h:mm;@">
                  <c:v>0.583333333333333</c:v>
                </c:pt>
                <c:pt idx="15" c:formatCode="h:mm;@">
                  <c:v>0.625</c:v>
                </c:pt>
                <c:pt idx="16" c:formatCode="h:mm;@">
                  <c:v>0.666666666666667</c:v>
                </c:pt>
                <c:pt idx="17" c:formatCode="h:mm;@">
                  <c:v>0.708333333333333</c:v>
                </c:pt>
                <c:pt idx="18" c:formatCode="h:mm;@">
                  <c:v>0.75</c:v>
                </c:pt>
                <c:pt idx="19" c:formatCode="h:mm;@">
                  <c:v>0.791666666666667</c:v>
                </c:pt>
                <c:pt idx="20" c:formatCode="h:mm;@">
                  <c:v>0.833333333333333</c:v>
                </c:pt>
                <c:pt idx="21" c:formatCode="h:mm;@">
                  <c:v>0.875</c:v>
                </c:pt>
                <c:pt idx="22" c:formatCode="h:mm;@">
                  <c:v>0.916666666666667</c:v>
                </c:pt>
                <c:pt idx="23" c:formatCode="h:mm;@">
                  <c:v>0.958333333333333</c:v>
                </c:pt>
              </c:numCache>
            </c:numRef>
          </c:cat>
          <c:val>
            <c:numRef>
              <c:f>Sheet1!$C$6:$C$29</c:f>
              <c:numCache>
                <c:formatCode>0.0000</c:formatCode>
                <c:ptCount val="24"/>
                <c:pt idx="0">
                  <c:v>0.2301</c:v>
                </c:pt>
                <c:pt idx="1">
                  <c:v>0.3828</c:v>
                </c:pt>
                <c:pt idx="2">
                  <c:v>0.2968</c:v>
                </c:pt>
                <c:pt idx="3">
                  <c:v>0.4444</c:v>
                </c:pt>
                <c:pt idx="4">
                  <c:v>0.5029</c:v>
                </c:pt>
                <c:pt idx="5">
                  <c:v>0.3609</c:v>
                </c:pt>
                <c:pt idx="6">
                  <c:v>0.2402</c:v>
                </c:pt>
                <c:pt idx="7">
                  <c:v>0.0473</c:v>
                </c:pt>
                <c:pt idx="8">
                  <c:v>0.1538</c:v>
                </c:pt>
                <c:pt idx="9">
                  <c:v>0.1068</c:v>
                </c:pt>
                <c:pt idx="10">
                  <c:v>0.0518</c:v>
                </c:pt>
                <c:pt idx="11">
                  <c:v>0.2169</c:v>
                </c:pt>
                <c:pt idx="12">
                  <c:v>0.3546</c:v>
                </c:pt>
                <c:pt idx="13">
                  <c:v>0.2194</c:v>
                </c:pt>
                <c:pt idx="14">
                  <c:v>0.111</c:v>
                </c:pt>
                <c:pt idx="15">
                  <c:v>0.2186</c:v>
                </c:pt>
                <c:pt idx="16">
                  <c:v>0.3779</c:v>
                </c:pt>
                <c:pt idx="17">
                  <c:v>0.3421</c:v>
                </c:pt>
                <c:pt idx="18">
                  <c:v>0.5008</c:v>
                </c:pt>
                <c:pt idx="19">
                  <c:v>0.4646</c:v>
                </c:pt>
                <c:pt idx="20">
                  <c:v>0.2197</c:v>
                </c:pt>
                <c:pt idx="21">
                  <c:v>0.1783</c:v>
                </c:pt>
                <c:pt idx="22">
                  <c:v>0.1535</c:v>
                </c:pt>
                <c:pt idx="23">
                  <c:v>0</c:v>
                </c:pt>
              </c:numCache>
            </c:numRef>
          </c:val>
          <c:smooth val="0"/>
        </c:ser>
        <c:dLbls>
          <c:showLegendKey val="0"/>
          <c:showVal val="1"/>
          <c:showCatName val="0"/>
          <c:showSerName val="0"/>
          <c:showPercent val="0"/>
          <c:showBubbleSize val="0"/>
        </c:dLbls>
        <c:dropLines>
          <c:spPr>
            <a:ln w="9525" cap="flat" cmpd="sng" algn="ctr">
              <a:gradFill>
                <a:gsLst>
                  <a:gs pos="0">
                    <a:schemeClr val="accent1"/>
                  </a:gs>
                  <a:gs pos="100000">
                    <a:schemeClr val="bg1"/>
                  </a:gs>
                </a:gsLst>
                <a:lin ang="5400000" scaled="1"/>
              </a:gradFill>
              <a:round/>
            </a:ln>
            <a:effectLst/>
          </c:spPr>
        </c:dropLines>
        <c:marker val="0"/>
        <c:smooth val="0"/>
        <c:axId val="971085040"/>
        <c:axId val="93397205"/>
      </c:lineChart>
      <c:catAx>
        <c:axId val="971085040"/>
        <c:scaling>
          <c:orientation val="minMax"/>
        </c:scaling>
        <c:delete val="0"/>
        <c:axPos val="b"/>
        <c:numFmt formatCode="General" sourceLinked="1"/>
        <c:majorTickMark val="none"/>
        <c:minorTickMark val="none"/>
        <c:tickLblPos val="nextTo"/>
        <c:spPr>
          <a:noFill/>
          <a:ln w="6350" cap="flat" cmpd="sng" algn="ctr">
            <a:solidFill>
              <a:schemeClr val="tx1">
                <a:lumMod val="50000"/>
                <a:lumOff val="50000"/>
                <a:alpha val="25000"/>
              </a:schemeClr>
            </a:solidFill>
            <a:round/>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93397205"/>
        <c:crosses val="autoZero"/>
        <c:auto val="1"/>
        <c:lblAlgn val="ctr"/>
        <c:lblOffset val="100"/>
        <c:noMultiLvlLbl val="0"/>
      </c:catAx>
      <c:valAx>
        <c:axId val="93397205"/>
        <c:scaling>
          <c:orientation val="minMax"/>
        </c:scaling>
        <c:delete val="1"/>
        <c:axPos val="l"/>
        <c:numFmt formatCode="0.0000" sourceLinked="1"/>
        <c:majorTickMark val="none"/>
        <c:minorTickMark val="none"/>
        <c:tickLblPos val="nextTo"/>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971085040"/>
        <c:crosses val="autoZero"/>
        <c:crossBetween val="between"/>
      </c:valAx>
      <c:spPr>
        <a:noFill/>
        <a:ln>
          <a:noFill/>
        </a:ln>
        <a:effectLst/>
      </c:spPr>
    </c:plotArea>
    <c:plotVisOnly val="1"/>
    <c:dispBlanksAs val="gap"/>
    <c:showDLblsOverMax val="0"/>
    <c:extLst>
      <c:ext uri="{0b15fc19-7d7d-44ad-8c2d-2c3a37ce22c3}">
        <chartProps xmlns="https://web.wps.cn/et/2018/main" chartId="{5ed0cc47-8cc2-48c7-81b3-540d832ff7ca}"/>
      </c:ext>
    </c:extLst>
  </c:chart>
  <c:spPr>
    <a:solidFill>
      <a:schemeClr val="bg1"/>
    </a:solidFill>
    <a:ln w="6350" cap="flat" cmpd="sng" algn="ctr">
      <a:solidFill>
        <a:schemeClr val="tx1">
          <a:lumMod val="50000"/>
          <a:lumOff val="50000"/>
          <a:alpha val="25000"/>
        </a:schemeClr>
      </a:solidFill>
      <a:round/>
    </a:ln>
    <a:effectLst>
      <a:outerShdw blurRad="63500" dist="37357" dir="2700000" sx="0" sy="0" rotWithShape="0">
        <a:scrgbClr r="0" g="0" b="0"/>
      </a:outerShdw>
    </a:effectLst>
  </c:spPr>
  <c:txPr>
    <a:bodyPr/>
    <a:lstStyle/>
    <a:p>
      <a:pPr>
        <a:defRPr lang="zh-CN" sz="90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forceAA="0"/>
          <a:lstStyle/>
          <a:p>
            <a:pPr defTabSz="914400">
              <a:defRPr lang="zh-CN" sz="1080" b="0" i="0" u="none" strike="noStrike" kern="1200" spc="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C</a:t>
            </a:r>
            <a:r>
              <a:rPr altLang="en-US"/>
              <a:t>园区一日内不同时刻典型日负荷</a:t>
            </a:r>
            <a:endParaRPr lang="en-US" altLang="zh-CN"/>
          </a:p>
        </c:rich>
      </c:tx>
      <c:layout/>
      <c:overlay val="0"/>
      <c:spPr>
        <a:noFill/>
        <a:ln>
          <a:noFill/>
        </a:ln>
        <a:effectLst/>
      </c:spPr>
    </c:title>
    <c:autoTitleDeleted val="0"/>
    <c:plotArea>
      <c:layout>
        <c:manualLayout>
          <c:layoutTarget val="inner"/>
          <c:xMode val="edge"/>
          <c:yMode val="edge"/>
          <c:x val="0.0286538023496796"/>
          <c:y val="0.149383765405865"/>
          <c:w val="0.967722133866798"/>
          <c:h val="0.752953676158096"/>
        </c:manualLayout>
      </c:layout>
      <c:lineChart>
        <c:grouping val="standard"/>
        <c:varyColors val="0"/>
        <c:ser>
          <c:idx val="2"/>
          <c:order val="0"/>
          <c:tx>
            <c:strRef>
              <c:f>Sheet1!$D$1</c:f>
              <c:strCache>
                <c:ptCount val="1"/>
                <c:pt idx="0">
                  <c:v>负荷（kw/h)</c:v>
                </c:pt>
              </c:strCache>
            </c:strRef>
          </c:tx>
          <c:spPr>
            <a:ln w="28575" cap="rnd">
              <a:solidFill>
                <a:schemeClr val="accent3"/>
              </a:solidFill>
              <a:round/>
            </a:ln>
            <a:effectLst/>
          </c:spPr>
          <c:marker>
            <c:symbol val="none"/>
          </c:marker>
          <c:dLbls>
            <c:dLbl>
              <c:idx val="22"/>
              <c:layout>
                <c:manualLayout>
                  <c:x val="-0.0157042763952646"/>
                  <c:y val="0"/>
                </c:manualLayout>
              </c:layout>
              <c:dLblPos val="t"/>
              <c:showLegendKey val="0"/>
              <c:showVal val="1"/>
              <c:showCatName val="0"/>
              <c:showSerName val="0"/>
              <c:showPercent val="0"/>
              <c:showBubbleSize val="0"/>
              <c:extLst>
                <c:ext xmlns:c15="http://schemas.microsoft.com/office/drawing/2012/chart" uri="{CE6537A1-D6FC-4f65-9D91-7224C49458BB}">
                  <c15:layout/>
                </c:ext>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900" b="1" i="0" u="none" strike="noStrike" kern="1200" baseline="0">
                    <a:solidFill>
                      <a:schemeClr val="accent3"/>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spPr>
                    <a:ln w="9525" cap="flat" cmpd="sng" algn="ctr">
                      <a:solidFill>
                        <a:schemeClr val="tx1">
                          <a:lumMod val="35000"/>
                          <a:lumOff val="65000"/>
                        </a:schemeClr>
                      </a:solidFill>
                      <a:round/>
                    </a:ln>
                    <a:effectLst/>
                  </c:spPr>
                </c15:leaderLines>
              </c:ext>
            </c:extLst>
          </c:dLbls>
          <c:cat>
            <c:numRef>
              <c:f>Sheet1!$A$6:$A$29</c:f>
              <c:numCache>
                <c:formatCode>h:mm;@</c:formatCode>
                <c:ptCount val="24"/>
                <c:pt idx="0" c:formatCode="h:mm;@">
                  <c:v>0</c:v>
                </c:pt>
                <c:pt idx="1" c:formatCode="h:mm;@">
                  <c:v>0.0416666666666667</c:v>
                </c:pt>
                <c:pt idx="2" c:formatCode="h:mm;@">
                  <c:v>0.0833333333333333</c:v>
                </c:pt>
                <c:pt idx="3" c:formatCode="h:mm;@">
                  <c:v>0.125</c:v>
                </c:pt>
                <c:pt idx="4" c:formatCode="h:mm;@">
                  <c:v>0.166666666666667</c:v>
                </c:pt>
                <c:pt idx="5" c:formatCode="h:mm;@">
                  <c:v>0.208333333333333</c:v>
                </c:pt>
                <c:pt idx="6" c:formatCode="h:mm;@">
                  <c:v>0.25</c:v>
                </c:pt>
                <c:pt idx="7" c:formatCode="h:mm;@">
                  <c:v>0.291666666666667</c:v>
                </c:pt>
                <c:pt idx="8" c:formatCode="h:mm;@">
                  <c:v>0.333333333333333</c:v>
                </c:pt>
                <c:pt idx="9" c:formatCode="h:mm;@">
                  <c:v>0.375</c:v>
                </c:pt>
                <c:pt idx="10" c:formatCode="h:mm;@">
                  <c:v>0.416666666666667</c:v>
                </c:pt>
                <c:pt idx="11" c:formatCode="h:mm;@">
                  <c:v>0.458333333333333</c:v>
                </c:pt>
                <c:pt idx="12" c:formatCode="h:mm;@">
                  <c:v>0.5</c:v>
                </c:pt>
                <c:pt idx="13" c:formatCode="h:mm;@">
                  <c:v>0.541666666666667</c:v>
                </c:pt>
                <c:pt idx="14" c:formatCode="h:mm;@">
                  <c:v>0.583333333333333</c:v>
                </c:pt>
                <c:pt idx="15" c:formatCode="h:mm;@">
                  <c:v>0.625</c:v>
                </c:pt>
                <c:pt idx="16" c:formatCode="h:mm;@">
                  <c:v>0.666666666666667</c:v>
                </c:pt>
                <c:pt idx="17" c:formatCode="h:mm;@">
                  <c:v>0.708333333333333</c:v>
                </c:pt>
                <c:pt idx="18" c:formatCode="h:mm;@">
                  <c:v>0.75</c:v>
                </c:pt>
                <c:pt idx="19" c:formatCode="h:mm;@">
                  <c:v>0.791666666666667</c:v>
                </c:pt>
                <c:pt idx="20" c:formatCode="h:mm;@">
                  <c:v>0.833333333333333</c:v>
                </c:pt>
                <c:pt idx="21" c:formatCode="h:mm;@">
                  <c:v>0.875</c:v>
                </c:pt>
                <c:pt idx="22" c:formatCode="h:mm;@">
                  <c:v>0.916666666666667</c:v>
                </c:pt>
                <c:pt idx="23" c:formatCode="h:mm;@">
                  <c:v>0.958333333333333</c:v>
                </c:pt>
              </c:numCache>
            </c:numRef>
          </c:cat>
          <c:val>
            <c:numRef>
              <c:f>Sheet1!$D$6:$D$29</c:f>
              <c:numCache>
                <c:formatCode>0_ </c:formatCode>
                <c:ptCount val="24"/>
                <c:pt idx="0">
                  <c:v>302</c:v>
                </c:pt>
                <c:pt idx="1">
                  <c:v>292</c:v>
                </c:pt>
                <c:pt idx="2">
                  <c:v>307</c:v>
                </c:pt>
                <c:pt idx="3">
                  <c:v>293</c:v>
                </c:pt>
                <c:pt idx="4">
                  <c:v>271</c:v>
                </c:pt>
                <c:pt idx="5">
                  <c:v>252</c:v>
                </c:pt>
                <c:pt idx="6">
                  <c:v>283</c:v>
                </c:pt>
                <c:pt idx="7">
                  <c:v>223</c:v>
                </c:pt>
                <c:pt idx="8">
                  <c:v>292</c:v>
                </c:pt>
                <c:pt idx="9">
                  <c:v>283</c:v>
                </c:pt>
                <c:pt idx="10">
                  <c:v>287</c:v>
                </c:pt>
                <c:pt idx="11">
                  <c:v>362</c:v>
                </c:pt>
                <c:pt idx="12">
                  <c:v>446</c:v>
                </c:pt>
                <c:pt idx="13">
                  <c:v>504</c:v>
                </c:pt>
                <c:pt idx="14">
                  <c:v>455</c:v>
                </c:pt>
                <c:pt idx="15">
                  <c:v>506</c:v>
                </c:pt>
                <c:pt idx="16">
                  <c:v>283</c:v>
                </c:pt>
                <c:pt idx="17">
                  <c:v>311</c:v>
                </c:pt>
                <c:pt idx="18">
                  <c:v>418</c:v>
                </c:pt>
                <c:pt idx="19">
                  <c:v>223</c:v>
                </c:pt>
                <c:pt idx="20">
                  <c:v>229</c:v>
                </c:pt>
                <c:pt idx="21">
                  <c:v>361</c:v>
                </c:pt>
                <c:pt idx="22">
                  <c:v>302</c:v>
                </c:pt>
                <c:pt idx="23">
                  <c:v>291</c:v>
                </c:pt>
              </c:numCache>
            </c:numRef>
          </c:val>
          <c:smooth val="0"/>
        </c:ser>
        <c:dLbls>
          <c:showLegendKey val="0"/>
          <c:showVal val="1"/>
          <c:showCatName val="0"/>
          <c:showSerName val="0"/>
          <c:showPercent val="0"/>
          <c:showBubbleSize val="0"/>
        </c:dLbls>
        <c:dropLines>
          <c:spPr>
            <a:ln w="9525" cap="flat" cmpd="sng" algn="ctr">
              <a:gradFill>
                <a:gsLst>
                  <a:gs pos="0">
                    <a:schemeClr val="accent1"/>
                  </a:gs>
                  <a:gs pos="100000">
                    <a:schemeClr val="bg1"/>
                  </a:gs>
                </a:gsLst>
                <a:lin ang="5400000" scaled="1"/>
              </a:gradFill>
              <a:round/>
            </a:ln>
            <a:effectLst/>
          </c:spPr>
        </c:dropLines>
        <c:marker val="0"/>
        <c:smooth val="0"/>
        <c:axId val="867377261"/>
        <c:axId val="818394886"/>
      </c:lineChart>
      <c:catAx>
        <c:axId val="867377261"/>
        <c:scaling>
          <c:orientation val="minMax"/>
        </c:scaling>
        <c:delete val="0"/>
        <c:axPos val="b"/>
        <c:numFmt formatCode="General" sourceLinked="1"/>
        <c:majorTickMark val="none"/>
        <c:minorTickMark val="none"/>
        <c:tickLblPos val="nextTo"/>
        <c:spPr>
          <a:noFill/>
          <a:ln w="6350" cap="flat" cmpd="sng" algn="ctr">
            <a:solidFill>
              <a:schemeClr val="tx1">
                <a:lumMod val="50000"/>
                <a:lumOff val="50000"/>
                <a:alpha val="25000"/>
              </a:schemeClr>
            </a:solidFill>
            <a:round/>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818394886"/>
        <c:crosses val="autoZero"/>
        <c:auto val="1"/>
        <c:lblAlgn val="ctr"/>
        <c:lblOffset val="100"/>
        <c:noMultiLvlLbl val="0"/>
      </c:catAx>
      <c:valAx>
        <c:axId val="818394886"/>
        <c:scaling>
          <c:orientation val="minMax"/>
        </c:scaling>
        <c:delete val="1"/>
        <c:axPos val="l"/>
        <c:numFmt formatCode="0_ " sourceLinked="1"/>
        <c:majorTickMark val="none"/>
        <c:minorTickMark val="none"/>
        <c:tickLblPos val="nextTo"/>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867377261"/>
        <c:crosses val="autoZero"/>
        <c:crossBetween val="between"/>
      </c:valAx>
      <c:spPr>
        <a:noFill/>
        <a:ln>
          <a:noFill/>
        </a:ln>
        <a:effectLst/>
      </c:spPr>
    </c:plotArea>
    <c:plotVisOnly val="1"/>
    <c:dispBlanksAs val="gap"/>
    <c:showDLblsOverMax val="0"/>
    <c:extLst>
      <c:ext uri="{0b15fc19-7d7d-44ad-8c2d-2c3a37ce22c3}">
        <chartProps xmlns="https://web.wps.cn/et/2018/main" chartId="{33146955-593d-491a-b28e-005f1c747e71}"/>
      </c:ext>
    </c:extLst>
  </c:chart>
  <c:spPr>
    <a:solidFill>
      <a:schemeClr val="bg1"/>
    </a:solidFill>
    <a:ln w="6350" cap="flat" cmpd="sng" algn="ctr">
      <a:solidFill>
        <a:schemeClr val="tx1">
          <a:lumMod val="50000"/>
          <a:lumOff val="50000"/>
          <a:alpha val="25000"/>
        </a:schemeClr>
      </a:solidFill>
      <a:round/>
    </a:ln>
    <a:effectLst>
      <a:outerShdw blurRad="63500" dist="37357" dir="2700000" sx="0" sy="0" rotWithShape="0">
        <a:scrgbClr r="0" g="0" b="0"/>
      </a:outerShdw>
    </a:effectLst>
  </c:spPr>
  <c:txPr>
    <a:bodyPr/>
    <a:lstStyle/>
    <a:p>
      <a:pPr>
        <a:defRPr lang="zh-CN" sz="90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spPr>
        <a:noFill/>
        <a:ln>
          <a:noFill/>
        </a:ln>
        <a:effectLst/>
      </c:spPr>
      <c:txPr>
        <a:bodyPr rot="0" spcFirstLastPara="0" vertOverflow="ellipsis" vert="horz" wrap="square" anchor="ctr" anchorCtr="1"/>
        <a:lstStyle/>
        <a:p>
          <a:pPr>
            <a:defRPr lang="zh-CN" sz="1400" b="1" i="0" u="none" strike="noStrike" kern="1200" baseline="0">
              <a:solidFill>
                <a:schemeClr val="tx1">
                  <a:lumMod val="75000"/>
                  <a:lumOff val="25000"/>
                </a:schemeClr>
              </a:solidFill>
              <a:latin typeface="+mn-lt"/>
              <a:ea typeface="+mn-ea"/>
              <a:cs typeface="+mn-cs"/>
            </a:defRPr>
          </a:pPr>
        </a:p>
      </c:txPr>
    </c:title>
    <c:autoTitleDeleted val="0"/>
    <c:plotArea>
      <c:layout>
        <c:manualLayout>
          <c:layoutTarget val="inner"/>
          <c:xMode val="edge"/>
          <c:yMode val="edge"/>
          <c:x val="0.0470945949026061"/>
          <c:y val="0.258606034849129"/>
          <c:w val="0.92874497987391"/>
          <c:h val="0.584232894177646"/>
        </c:manualLayout>
      </c:layout>
      <c:lineChart>
        <c:grouping val="standard"/>
        <c:varyColors val="0"/>
        <c:ser>
          <c:idx val="0"/>
          <c:order val="0"/>
          <c:tx>
            <c:strRef>
              <c:f>Sheet1!$B$1</c:f>
              <c:strCache>
                <c:ptCount val="1"/>
                <c:pt idx="0">
                  <c:v>光伏出力（p.u.)</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Lbl>
              <c:idx val="0"/>
              <c:delete val="1"/>
            </c:dLbl>
            <c:dLbl>
              <c:idx val="1"/>
              <c:delete val="1"/>
            </c:dLbl>
            <c:dLbl>
              <c:idx val="2"/>
              <c:delete val="1"/>
            </c:dLbl>
            <c:dLbl>
              <c:idx val="3"/>
              <c:delete val="1"/>
            </c:dLbl>
            <c:dLbl>
              <c:idx val="4"/>
              <c:delete val="1"/>
            </c:dLbl>
            <c:dLbl>
              <c:idx val="5"/>
              <c:delete val="1"/>
            </c:dLbl>
            <c:dLbl>
              <c:idx val="6"/>
              <c:layout>
                <c:manualLayout>
                  <c:x val="-0.0362406378352259"/>
                  <c:y val="0"/>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11"/>
              <c:layout>
                <c:manualLayout>
                  <c:x val="-0.0652331481034066"/>
                  <c:y val="-0.0276243093922652"/>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12"/>
              <c:layout>
                <c:manualLayout>
                  <c:x val="-0.0326165740517033"/>
                  <c:y val="-0.0552486187845304"/>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16"/>
              <c:layout>
                <c:manualLayout>
                  <c:x val="-0.00241604252234839"/>
                  <c:y val="-0.0254993625159371"/>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17"/>
              <c:layout>
                <c:manualLayout>
                  <c:x val="0.0495288717081421"/>
                  <c:y val="0.0276243093922652"/>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18"/>
              <c:delete val="1"/>
            </c:dLbl>
            <c:dLbl>
              <c:idx val="19"/>
              <c:delete val="1"/>
            </c:dLbl>
            <c:dLbl>
              <c:idx val="20"/>
              <c:delete val="1"/>
            </c:dLbl>
            <c:dLbl>
              <c:idx val="21"/>
              <c:delete val="1"/>
            </c:dLbl>
            <c:dLbl>
              <c:idx val="22"/>
              <c:delete val="1"/>
            </c:dLbl>
            <c:dLbl>
              <c:idx val="23"/>
              <c:delete val="1"/>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Sheet1!$A$6:$A$32</c:f>
              <c:numCache>
                <c:formatCode>h:mm;@</c:formatCode>
                <c:ptCount val="27"/>
                <c:pt idx="0" c:formatCode="h:mm;@">
                  <c:v>0</c:v>
                </c:pt>
                <c:pt idx="1" c:formatCode="h:mm;@">
                  <c:v>0.0416666666666667</c:v>
                </c:pt>
                <c:pt idx="2" c:formatCode="h:mm;@">
                  <c:v>0.0833333333333333</c:v>
                </c:pt>
                <c:pt idx="3" c:formatCode="h:mm;@">
                  <c:v>0.125</c:v>
                </c:pt>
                <c:pt idx="4" c:formatCode="h:mm;@">
                  <c:v>0.166666666666667</c:v>
                </c:pt>
                <c:pt idx="5" c:formatCode="h:mm;@">
                  <c:v>0.208333333333333</c:v>
                </c:pt>
                <c:pt idx="6" c:formatCode="h:mm;@">
                  <c:v>0.25</c:v>
                </c:pt>
                <c:pt idx="7" c:formatCode="h:mm;@">
                  <c:v>0.291666666666667</c:v>
                </c:pt>
                <c:pt idx="8" c:formatCode="h:mm;@">
                  <c:v>0.333333333333333</c:v>
                </c:pt>
                <c:pt idx="9" c:formatCode="h:mm;@">
                  <c:v>0.375</c:v>
                </c:pt>
                <c:pt idx="10" c:formatCode="h:mm;@">
                  <c:v>0.416666666666667</c:v>
                </c:pt>
                <c:pt idx="11" c:formatCode="h:mm;@">
                  <c:v>0.458333333333333</c:v>
                </c:pt>
                <c:pt idx="12" c:formatCode="h:mm;@">
                  <c:v>0.5</c:v>
                </c:pt>
                <c:pt idx="13" c:formatCode="h:mm;@">
                  <c:v>0.541666666666667</c:v>
                </c:pt>
                <c:pt idx="14" c:formatCode="h:mm;@">
                  <c:v>0.583333333333333</c:v>
                </c:pt>
                <c:pt idx="15" c:formatCode="h:mm;@">
                  <c:v>0.625</c:v>
                </c:pt>
                <c:pt idx="16" c:formatCode="h:mm;@">
                  <c:v>0.666666666666667</c:v>
                </c:pt>
                <c:pt idx="17" c:formatCode="h:mm;@">
                  <c:v>0.708333333333333</c:v>
                </c:pt>
                <c:pt idx="18" c:formatCode="h:mm;@">
                  <c:v>0.75</c:v>
                </c:pt>
                <c:pt idx="19" c:formatCode="h:mm;@">
                  <c:v>0.791666666666667</c:v>
                </c:pt>
                <c:pt idx="20" c:formatCode="h:mm;@">
                  <c:v>0.833333333333333</c:v>
                </c:pt>
                <c:pt idx="21" c:formatCode="h:mm;@">
                  <c:v>0.875</c:v>
                </c:pt>
                <c:pt idx="22" c:formatCode="h:mm;@">
                  <c:v>0.916666666666667</c:v>
                </c:pt>
                <c:pt idx="23" c:formatCode="h:mm;@">
                  <c:v>0.958333333333333</c:v>
                </c:pt>
              </c:numCache>
            </c:numRef>
          </c:cat>
          <c:val>
            <c:numRef>
              <c:f>Sheet1!$B$6:$B$32</c:f>
              <c:numCache>
                <c:formatCode>0.0000</c:formatCode>
                <c:ptCount val="27"/>
                <c:pt idx="0">
                  <c:v>0</c:v>
                </c:pt>
                <c:pt idx="1">
                  <c:v>0</c:v>
                </c:pt>
                <c:pt idx="2">
                  <c:v>0</c:v>
                </c:pt>
                <c:pt idx="3">
                  <c:v>0</c:v>
                </c:pt>
                <c:pt idx="4">
                  <c:v>0</c:v>
                </c:pt>
                <c:pt idx="5">
                  <c:v>0</c:v>
                </c:pt>
                <c:pt idx="6">
                  <c:v>0</c:v>
                </c:pt>
                <c:pt idx="7">
                  <c:v>0.0105</c:v>
                </c:pt>
                <c:pt idx="8">
                  <c:v>0.328</c:v>
                </c:pt>
                <c:pt idx="9">
                  <c:v>0.6314</c:v>
                </c:pt>
                <c:pt idx="10">
                  <c:v>0.7936</c:v>
                </c:pt>
                <c:pt idx="11">
                  <c:v>0.8925</c:v>
                </c:pt>
                <c:pt idx="12">
                  <c:v>0.8999</c:v>
                </c:pt>
                <c:pt idx="13">
                  <c:v>0.8221</c:v>
                </c:pt>
                <c:pt idx="14">
                  <c:v>0.6667</c:v>
                </c:pt>
                <c:pt idx="15">
                  <c:v>0.4275</c:v>
                </c:pt>
                <c:pt idx="16">
                  <c:v>0.0216</c:v>
                </c:pt>
                <c:pt idx="17">
                  <c:v>0</c:v>
                </c:pt>
                <c:pt idx="18">
                  <c:v>0</c:v>
                </c:pt>
                <c:pt idx="19">
                  <c:v>0</c:v>
                </c:pt>
                <c:pt idx="20">
                  <c:v>0</c:v>
                </c:pt>
                <c:pt idx="21">
                  <c:v>0</c:v>
                </c:pt>
                <c:pt idx="22">
                  <c:v>0</c:v>
                </c:pt>
                <c:pt idx="23">
                  <c:v>0</c:v>
                </c:pt>
              </c:numCache>
            </c:numRef>
          </c:val>
          <c:smooth val="0"/>
        </c:ser>
        <c:ser>
          <c:idx val="1"/>
          <c:order val="1"/>
          <c:tx>
            <c:strRef>
              <c:f>Sheet1!$C$1</c:f>
              <c:strCache>
                <c:ptCount val="1"/>
                <c:pt idx="0">
                  <c:v>风力出力（p.u.)</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Lbl>
              <c:idx val="8"/>
              <c:layout>
                <c:manualLayout>
                  <c:x val="0.0326165740517033"/>
                  <c:y val="0"/>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10"/>
              <c:layout>
                <c:manualLayout>
                  <c:x val="-0.0205363614399613"/>
                  <c:y val="-0.070123246918827"/>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11"/>
              <c:layout>
                <c:manualLayout>
                  <c:x val="0.018120318917613"/>
                  <c:y val="0.0297492562685933"/>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17"/>
              <c:layout>
                <c:manualLayout>
                  <c:x val="-0.0277844890070065"/>
                  <c:y val="-0.023374415639609"/>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18"/>
              <c:layout>
                <c:manualLayout>
                  <c:x val="0.0543609567528388"/>
                  <c:y val="-0.0212494687632809"/>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19"/>
              <c:layout>
                <c:manualLayout>
                  <c:x val="-0.00845614882821938"/>
                  <c:y val="0.046748831279218"/>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20"/>
              <c:layout>
                <c:manualLayout>
                  <c:x val="-0.0531529354916647"/>
                  <c:y val="0.0318742031449214"/>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22"/>
              <c:layout>
                <c:manualLayout>
                  <c:x val="0.0495288717081421"/>
                  <c:y val="-0.0191245218869528"/>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23"/>
              <c:layout>
                <c:manualLayout>
                  <c:x val="-0.0132882338729162"/>
                  <c:y val="-0.070123246918827"/>
                </c:manualLayout>
              </c:layout>
              <c:dLblPos val="r"/>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Sheet1!$A$6:$A$32</c:f>
              <c:numCache>
                <c:formatCode>h:mm;@</c:formatCode>
                <c:ptCount val="27"/>
                <c:pt idx="0" c:formatCode="h:mm;@">
                  <c:v>0</c:v>
                </c:pt>
                <c:pt idx="1" c:formatCode="h:mm;@">
                  <c:v>0.0416666666666667</c:v>
                </c:pt>
                <c:pt idx="2" c:formatCode="h:mm;@">
                  <c:v>0.0833333333333333</c:v>
                </c:pt>
                <c:pt idx="3" c:formatCode="h:mm;@">
                  <c:v>0.125</c:v>
                </c:pt>
                <c:pt idx="4" c:formatCode="h:mm;@">
                  <c:v>0.166666666666667</c:v>
                </c:pt>
                <c:pt idx="5" c:formatCode="h:mm;@">
                  <c:v>0.208333333333333</c:v>
                </c:pt>
                <c:pt idx="6" c:formatCode="h:mm;@">
                  <c:v>0.25</c:v>
                </c:pt>
                <c:pt idx="7" c:formatCode="h:mm;@">
                  <c:v>0.291666666666667</c:v>
                </c:pt>
                <c:pt idx="8" c:formatCode="h:mm;@">
                  <c:v>0.333333333333333</c:v>
                </c:pt>
                <c:pt idx="9" c:formatCode="h:mm;@">
                  <c:v>0.375</c:v>
                </c:pt>
                <c:pt idx="10" c:formatCode="h:mm;@">
                  <c:v>0.416666666666667</c:v>
                </c:pt>
                <c:pt idx="11" c:formatCode="h:mm;@">
                  <c:v>0.458333333333333</c:v>
                </c:pt>
                <c:pt idx="12" c:formatCode="h:mm;@">
                  <c:v>0.5</c:v>
                </c:pt>
                <c:pt idx="13" c:formatCode="h:mm;@">
                  <c:v>0.541666666666667</c:v>
                </c:pt>
                <c:pt idx="14" c:formatCode="h:mm;@">
                  <c:v>0.583333333333333</c:v>
                </c:pt>
                <c:pt idx="15" c:formatCode="h:mm;@">
                  <c:v>0.625</c:v>
                </c:pt>
                <c:pt idx="16" c:formatCode="h:mm;@">
                  <c:v>0.666666666666667</c:v>
                </c:pt>
                <c:pt idx="17" c:formatCode="h:mm;@">
                  <c:v>0.708333333333333</c:v>
                </c:pt>
                <c:pt idx="18" c:formatCode="h:mm;@">
                  <c:v>0.75</c:v>
                </c:pt>
                <c:pt idx="19" c:formatCode="h:mm;@">
                  <c:v>0.791666666666667</c:v>
                </c:pt>
                <c:pt idx="20" c:formatCode="h:mm;@">
                  <c:v>0.833333333333333</c:v>
                </c:pt>
                <c:pt idx="21" c:formatCode="h:mm;@">
                  <c:v>0.875</c:v>
                </c:pt>
                <c:pt idx="22" c:formatCode="h:mm;@">
                  <c:v>0.916666666666667</c:v>
                </c:pt>
                <c:pt idx="23" c:formatCode="h:mm;@">
                  <c:v>0.958333333333333</c:v>
                </c:pt>
              </c:numCache>
            </c:numRef>
          </c:cat>
          <c:val>
            <c:numRef>
              <c:f>Sheet1!$C$6:$C$32</c:f>
              <c:numCache>
                <c:formatCode>0.0000</c:formatCode>
                <c:ptCount val="27"/>
                <c:pt idx="0">
                  <c:v>0.1464</c:v>
                </c:pt>
                <c:pt idx="1">
                  <c:v>0.2175</c:v>
                </c:pt>
                <c:pt idx="2">
                  <c:v>0.3959</c:v>
                </c:pt>
                <c:pt idx="3">
                  <c:v>0.1831</c:v>
                </c:pt>
                <c:pt idx="4">
                  <c:v>0.4716</c:v>
                </c:pt>
                <c:pt idx="5">
                  <c:v>0.6215</c:v>
                </c:pt>
                <c:pt idx="6">
                  <c:v>0.2946</c:v>
                </c:pt>
                <c:pt idx="7">
                  <c:v>0.1214</c:v>
                </c:pt>
                <c:pt idx="8">
                  <c:v>0.025</c:v>
                </c:pt>
                <c:pt idx="9">
                  <c:v>0.3023</c:v>
                </c:pt>
                <c:pt idx="10">
                  <c:v>0.0196</c:v>
                </c:pt>
                <c:pt idx="11">
                  <c:v>0.1224</c:v>
                </c:pt>
                <c:pt idx="12">
                  <c:v>0.3335</c:v>
                </c:pt>
                <c:pt idx="13">
                  <c:v>0.2653</c:v>
                </c:pt>
                <c:pt idx="14">
                  <c:v>0.122</c:v>
                </c:pt>
                <c:pt idx="15">
                  <c:v>0.1633</c:v>
                </c:pt>
                <c:pt idx="16">
                  <c:v>0.2645</c:v>
                </c:pt>
                <c:pt idx="17">
                  <c:v>0.3408</c:v>
                </c:pt>
                <c:pt idx="18">
                  <c:v>0.3183</c:v>
                </c:pt>
                <c:pt idx="19">
                  <c:v>0.3299</c:v>
                </c:pt>
                <c:pt idx="20">
                  <c:v>0.1703</c:v>
                </c:pt>
                <c:pt idx="21">
                  <c:v>0.1655</c:v>
                </c:pt>
                <c:pt idx="22">
                  <c:v>0.1897</c:v>
                </c:pt>
                <c:pt idx="23">
                  <c:v>0.2323</c:v>
                </c:pt>
              </c:numCache>
            </c:numRef>
          </c:val>
          <c:smooth val="0"/>
        </c:ser>
        <c:dLbls>
          <c:showLegendKey val="0"/>
          <c:showVal val="1"/>
          <c:showCatName val="0"/>
          <c:showSerName val="0"/>
          <c:showPercent val="0"/>
          <c:showBubbleSize val="0"/>
        </c:dLbls>
        <c:marker val="1"/>
        <c:smooth val="0"/>
        <c:axId val="403690486"/>
        <c:axId val="626455184"/>
      </c:lineChart>
      <c:catAx>
        <c:axId val="40369048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26455184"/>
        <c:crosses val="autoZero"/>
        <c:auto val="1"/>
        <c:lblAlgn val="ctr"/>
        <c:lblOffset val="100"/>
        <c:noMultiLvlLbl val="0"/>
      </c:catAx>
      <c:valAx>
        <c:axId val="626455184"/>
        <c:scaling>
          <c:orientation val="minMax"/>
        </c:scaling>
        <c:delete val="1"/>
        <c:axPos val="l"/>
        <c:numFmt formatCode="0.0000" sourceLinked="1"/>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03690486"/>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6c6dd676-a3be-4f98-9b0c-e5a9dccfa9b7}"/>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forceAA="0"/>
          <a:lstStyle/>
          <a:p>
            <a:pPr defTabSz="914400">
              <a:defRPr lang="zh-CN" sz="14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三园区配置</a:t>
            </a:r>
            <a:r>
              <a:rPr lang="en-US" altLang="zh-CN"/>
              <a:t>50kw/100kw</a:t>
            </a:r>
            <a:r>
              <a:rPr altLang="en-US"/>
              <a:t>购，弃电量对比</a:t>
            </a:r>
            <a:endParaRPr lang="en-US" altLang="zh-CN"/>
          </a:p>
        </c:rich>
      </c:tx>
      <c:layout/>
      <c:overlay val="0"/>
      <c:spPr>
        <a:noFill/>
        <a:ln>
          <a:noFill/>
        </a:ln>
        <a:effectLst/>
      </c:spPr>
    </c:title>
    <c:autoTitleDeleted val="0"/>
    <c:plotArea>
      <c:layout/>
      <c:barChart>
        <c:barDir val="col"/>
        <c:grouping val="clustered"/>
        <c:varyColors val="0"/>
        <c:ser>
          <c:idx val="0"/>
          <c:order val="0"/>
          <c:tx>
            <c:strRef>
              <c:f>Sheet1!$B$1</c:f>
              <c:strCache>
                <c:ptCount val="1"/>
                <c:pt idx="0">
                  <c:v>A</c:v>
                </c:pt>
              </c:strCache>
            </c:strRef>
          </c:tx>
          <c:spPr>
            <a:solidFill>
              <a:schemeClr val="accent1"/>
            </a:solidFill>
            <a:ln w="31750" cap="rnd">
              <a:noFill/>
              <a:round/>
            </a:ln>
            <a:effectLst/>
            <a:sp3d contourW="31750"/>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spPr>
                    <a:ln w="9525" cap="flat" cmpd="sng" algn="ctr">
                      <a:solidFill>
                        <a:schemeClr val="tx1">
                          <a:lumMod val="35000"/>
                          <a:lumOff val="65000"/>
                        </a:schemeClr>
                      </a:solidFill>
                      <a:round/>
                    </a:ln>
                    <a:effectLst/>
                  </c:spPr>
                </c15:leaderLines>
              </c:ext>
            </c:extLst>
          </c:dLbls>
          <c:cat>
            <c:strRef>
              <c:f>Sheet1!$A$2:$A$3</c:f>
              <c:strCache>
                <c:ptCount val="2"/>
                <c:pt idx="0">
                  <c:v>购电量（kw/h）</c:v>
                </c:pt>
                <c:pt idx="1">
                  <c:v>弃电量(kw/h)</c:v>
                </c:pt>
              </c:strCache>
            </c:strRef>
          </c:cat>
          <c:val>
            <c:numRef>
              <c:f>Sheet1!$B$2:$B$3</c:f>
              <c:numCache>
                <c:formatCode>General</c:formatCode>
                <c:ptCount val="2"/>
                <c:pt idx="0">
                  <c:v>4798.13</c:v>
                </c:pt>
                <c:pt idx="1">
                  <c:v>866.99</c:v>
                </c:pt>
              </c:numCache>
            </c:numRef>
          </c:val>
        </c:ser>
        <c:ser>
          <c:idx val="1"/>
          <c:order val="1"/>
          <c:tx>
            <c:strRef>
              <c:f>Sheet1!$C$1</c:f>
              <c:strCache>
                <c:ptCount val="1"/>
                <c:pt idx="0">
                  <c:v>B</c:v>
                </c:pt>
              </c:strCache>
            </c:strRef>
          </c:tx>
          <c:spPr>
            <a:solidFill>
              <a:schemeClr val="accent2"/>
            </a:solidFill>
            <a:ln w="31750" cap="rnd">
              <a:noFill/>
              <a:round/>
            </a:ln>
            <a:effectLst/>
            <a:sp3d contourW="31750"/>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spPr>
                    <a:ln w="9525" cap="flat" cmpd="sng" algn="ctr">
                      <a:solidFill>
                        <a:schemeClr val="tx1">
                          <a:lumMod val="35000"/>
                          <a:lumOff val="65000"/>
                        </a:schemeClr>
                      </a:solidFill>
                      <a:round/>
                    </a:ln>
                    <a:effectLst/>
                  </c:spPr>
                </c15:leaderLines>
              </c:ext>
            </c:extLst>
          </c:dLbls>
          <c:cat>
            <c:strRef>
              <c:f>Sheet1!$A$2:$A$3</c:f>
              <c:strCache>
                <c:ptCount val="2"/>
                <c:pt idx="0">
                  <c:v>购电量（kw/h）</c:v>
                </c:pt>
                <c:pt idx="1">
                  <c:v>弃电量(kw/h)</c:v>
                </c:pt>
              </c:strCache>
            </c:strRef>
          </c:cat>
          <c:val>
            <c:numRef>
              <c:f>Sheet1!$C$2:$C$3</c:f>
              <c:numCache>
                <c:formatCode>General</c:formatCode>
                <c:ptCount val="2"/>
                <c:pt idx="0">
                  <c:v>2248.22</c:v>
                </c:pt>
                <c:pt idx="1">
                  <c:v>693.54</c:v>
                </c:pt>
              </c:numCache>
            </c:numRef>
          </c:val>
        </c:ser>
        <c:ser>
          <c:idx val="2"/>
          <c:order val="2"/>
          <c:tx>
            <c:strRef>
              <c:f>Sheet1!$D$1</c:f>
              <c:strCache>
                <c:ptCount val="1"/>
                <c:pt idx="0">
                  <c:v>C</c:v>
                </c:pt>
              </c:strCache>
            </c:strRef>
          </c:tx>
          <c:spPr>
            <a:solidFill>
              <a:schemeClr val="accent3"/>
            </a:solidFill>
            <a:ln w="31750" cap="rnd">
              <a:noFill/>
              <a:round/>
            </a:ln>
            <a:effectLst/>
            <a:sp3d contourW="31750"/>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spPr>
                    <a:ln w="9525" cap="flat" cmpd="sng" algn="ctr">
                      <a:solidFill>
                        <a:schemeClr val="tx1">
                          <a:lumMod val="35000"/>
                          <a:lumOff val="65000"/>
                        </a:schemeClr>
                      </a:solidFill>
                      <a:round/>
                    </a:ln>
                    <a:effectLst/>
                  </c:spPr>
                </c15:leaderLines>
              </c:ext>
            </c:extLst>
          </c:dLbls>
          <c:cat>
            <c:strRef>
              <c:f>Sheet1!$A$2:$A$3</c:f>
              <c:strCache>
                <c:ptCount val="2"/>
                <c:pt idx="0">
                  <c:v>购电量（kw/h）</c:v>
                </c:pt>
                <c:pt idx="1">
                  <c:v>弃电量(kw/h)</c:v>
                </c:pt>
              </c:strCache>
            </c:strRef>
          </c:cat>
          <c:val>
            <c:numRef>
              <c:f>Sheet1!$D$2:$D$3</c:f>
              <c:numCache>
                <c:formatCode>General</c:formatCode>
                <c:ptCount val="2"/>
                <c:pt idx="0">
                  <c:v>2578.27</c:v>
                </c:pt>
                <c:pt idx="1">
                  <c:v>993.81</c:v>
                </c:pt>
              </c:numCache>
            </c:numRef>
          </c:val>
        </c:ser>
        <c:dLbls>
          <c:showLegendKey val="0"/>
          <c:showVal val="0"/>
          <c:showCatName val="0"/>
          <c:showSerName val="0"/>
          <c:showPercent val="0"/>
          <c:showBubbleSize val="0"/>
        </c:dLbls>
        <c:gapWidth val="150"/>
        <c:overlap val="-25"/>
        <c:axId val="450890697"/>
        <c:axId val="126095346"/>
      </c:barChart>
      <c:catAx>
        <c:axId val="450890697"/>
        <c:scaling>
          <c:orientation val="minMax"/>
        </c:scaling>
        <c:delete val="0"/>
        <c:axPos val="b"/>
        <c:numFmt formatCode="General" sourceLinked="1"/>
        <c:majorTickMark val="none"/>
        <c:minorTickMark val="none"/>
        <c:tickLblPos val="nextTo"/>
        <c:spPr>
          <a:noFill/>
          <a:ln w="6350" cap="flat" cmpd="sng" algn="ctr">
            <a:solidFill>
              <a:schemeClr val="tx1">
                <a:lumMod val="50000"/>
                <a:lumOff val="50000"/>
                <a:alpha val="25000"/>
              </a:schemeClr>
            </a:solidFill>
            <a:round/>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126095346"/>
        <c:crosses val="autoZero"/>
        <c:auto val="1"/>
        <c:lblAlgn val="ctr"/>
        <c:lblOffset val="100"/>
        <c:noMultiLvlLbl val="0"/>
      </c:catAx>
      <c:valAx>
        <c:axId val="126095346"/>
        <c:scaling>
          <c:orientation val="minMax"/>
        </c:scaling>
        <c:delete val="1"/>
        <c:axPos val="l"/>
        <c:numFmt formatCode="General" sourceLinked="1"/>
        <c:majorTickMark val="out"/>
        <c:minorTickMark val="none"/>
        <c:tickLblPos val="nextTo"/>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450890697"/>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5b421a63-7a66-491b-9fe2-f7ab62270067}"/>
      </c:ext>
    </c:extLst>
  </c:chart>
  <c:spPr>
    <a:solidFill>
      <a:schemeClr val="bg1"/>
    </a:solidFill>
    <a:ln w="6350" cap="flat" cmpd="sng" algn="ctr">
      <a:solidFill>
        <a:schemeClr val="tx1">
          <a:lumMod val="50000"/>
          <a:lumOff val="50000"/>
          <a:alpha val="25000"/>
        </a:schemeClr>
      </a:solidFill>
      <a:round/>
    </a:ln>
    <a:effectLst/>
  </c:spPr>
  <c:txPr>
    <a:bodyPr/>
    <a:lstStyle/>
    <a:p>
      <a:pPr>
        <a:defRPr lang="zh-CN">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三园区配置50kw/100kw储能成本对比</a:t>
            </a:r>
          </a:p>
        </c:rich>
      </c:tx>
      <c:layout/>
      <c:overlay val="0"/>
      <c:spPr>
        <a:noFill/>
        <a:ln>
          <a:noFill/>
        </a:ln>
        <a:effectLst/>
      </c:spPr>
    </c:title>
    <c:autoTitleDeleted val="0"/>
    <c:plotArea>
      <c:layout/>
      <c:barChart>
        <c:barDir val="col"/>
        <c:grouping val="clustered"/>
        <c:varyColors val="0"/>
        <c:ser>
          <c:idx val="0"/>
          <c:order val="0"/>
          <c:tx>
            <c:strRef>
              <c:f>Sheet1!$B$1</c:f>
              <c:strCache>
                <c:ptCount val="1"/>
                <c:pt idx="0">
                  <c:v>A</c:v>
                </c:pt>
              </c:strCache>
            </c:strRef>
          </c:tx>
          <c:spPr>
            <a:solidFill>
              <a:schemeClr val="accent1"/>
            </a:solidFill>
            <a:ln>
              <a:noFill/>
            </a:ln>
            <a:effectLst/>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spPr>
                    <a:ln w="9525" cap="flat" cmpd="sng" algn="ctr">
                      <a:solidFill>
                        <a:schemeClr val="tx1">
                          <a:lumMod val="35000"/>
                          <a:lumOff val="65000"/>
                        </a:schemeClr>
                      </a:solidFill>
                      <a:round/>
                    </a:ln>
                    <a:effectLst/>
                  </c:spPr>
                </c15:leaderLines>
              </c:ext>
            </c:extLst>
          </c:dLbls>
          <c:cat>
            <c:strRef>
              <c:f>Sheet1!$A$2:$A$3</c:f>
              <c:strCache>
                <c:ptCount val="2"/>
                <c:pt idx="0">
                  <c:v>总成本（元/日）</c:v>
                </c:pt>
                <c:pt idx="1">
                  <c:v>平均供电成本（元/kWh）</c:v>
                </c:pt>
              </c:strCache>
            </c:strRef>
          </c:cat>
          <c:val>
            <c:numRef>
              <c:f>Sheet1!$B$2:$B$3</c:f>
              <c:numCache>
                <c:formatCode>General</c:formatCode>
                <c:ptCount val="2"/>
                <c:pt idx="0">
                  <c:v>6042.56</c:v>
                </c:pt>
                <c:pt idx="1">
                  <c:v>0.7648</c:v>
                </c:pt>
              </c:numCache>
            </c:numRef>
          </c:val>
        </c:ser>
        <c:ser>
          <c:idx val="1"/>
          <c:order val="1"/>
          <c:tx>
            <c:strRef>
              <c:f>Sheet1!$C$1</c:f>
              <c:strCache>
                <c:ptCount val="1"/>
                <c:pt idx="0">
                  <c:v>B</c:v>
                </c:pt>
              </c:strCache>
            </c:strRef>
          </c:tx>
          <c:spPr>
            <a:solidFill>
              <a:schemeClr val="accent2"/>
            </a:solidFill>
            <a:ln>
              <a:noFill/>
            </a:ln>
            <a:effectLst/>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spPr>
                    <a:ln w="9525" cap="flat" cmpd="sng" algn="ctr">
                      <a:solidFill>
                        <a:schemeClr val="tx1">
                          <a:lumMod val="35000"/>
                          <a:lumOff val="65000"/>
                        </a:schemeClr>
                      </a:solidFill>
                      <a:round/>
                    </a:ln>
                    <a:effectLst/>
                  </c:spPr>
                </c15:leaderLines>
              </c:ext>
            </c:extLst>
          </c:dLbls>
          <c:cat>
            <c:strRef>
              <c:f>Sheet1!$A$2:$A$3</c:f>
              <c:strCache>
                <c:ptCount val="2"/>
                <c:pt idx="0">
                  <c:v>总成本（元/日）</c:v>
                </c:pt>
                <c:pt idx="1">
                  <c:v>平均供电成本（元/kWh）</c:v>
                </c:pt>
              </c:strCache>
            </c:strRef>
          </c:cat>
          <c:val>
            <c:numRef>
              <c:f>Sheet1!$C$2:$C$3</c:f>
              <c:numCache>
                <c:formatCode>General</c:formatCode>
                <c:ptCount val="2"/>
                <c:pt idx="0">
                  <c:v>4989.05</c:v>
                </c:pt>
                <c:pt idx="1">
                  <c:v>0.6471</c:v>
                </c:pt>
              </c:numCache>
            </c:numRef>
          </c:val>
        </c:ser>
        <c:ser>
          <c:idx val="2"/>
          <c:order val="2"/>
          <c:tx>
            <c:strRef>
              <c:f>Sheet1!$D$1</c:f>
              <c:strCache>
                <c:ptCount val="1"/>
                <c:pt idx="0">
                  <c:v>C</c:v>
                </c:pt>
              </c:strCache>
            </c:strRef>
          </c:tx>
          <c:spPr>
            <a:solidFill>
              <a:schemeClr val="accent3"/>
            </a:solidFill>
            <a:ln>
              <a:noFill/>
            </a:ln>
            <a:effectLst/>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spPr>
                    <a:ln w="9525" cap="flat" cmpd="sng" algn="ctr">
                      <a:solidFill>
                        <a:schemeClr val="tx1">
                          <a:lumMod val="35000"/>
                          <a:lumOff val="65000"/>
                        </a:schemeClr>
                      </a:solidFill>
                      <a:round/>
                    </a:ln>
                    <a:effectLst/>
                  </c:spPr>
                </c15:leaderLines>
              </c:ext>
            </c:extLst>
          </c:dLbls>
          <c:cat>
            <c:strRef>
              <c:f>Sheet1!$A$2:$A$3</c:f>
              <c:strCache>
                <c:ptCount val="2"/>
                <c:pt idx="0">
                  <c:v>总成本（元/日）</c:v>
                </c:pt>
                <c:pt idx="1">
                  <c:v>平均供电成本（元/kWh）</c:v>
                </c:pt>
              </c:strCache>
            </c:strRef>
          </c:cat>
          <c:val>
            <c:numRef>
              <c:f>Sheet1!$D$2:$D$3</c:f>
              <c:numCache>
                <c:formatCode>General</c:formatCode>
                <c:ptCount val="2"/>
                <c:pt idx="0">
                  <c:v>4900.87</c:v>
                </c:pt>
                <c:pt idx="1">
                  <c:v>0.6303</c:v>
                </c:pt>
              </c:numCache>
            </c:numRef>
          </c:val>
        </c:ser>
        <c:dLbls>
          <c:showLegendKey val="0"/>
          <c:showVal val="1"/>
          <c:showCatName val="0"/>
          <c:showSerName val="0"/>
          <c:showPercent val="0"/>
          <c:showBubbleSize val="0"/>
        </c:dLbls>
        <c:gapWidth val="246"/>
        <c:overlap val="-28"/>
        <c:axId val="25048702"/>
        <c:axId val="222543192"/>
      </c:barChart>
      <c:catAx>
        <c:axId val="2504870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22543192"/>
        <c:crosses val="autoZero"/>
        <c:auto val="1"/>
        <c:lblAlgn val="ctr"/>
        <c:lblOffset val="100"/>
        <c:noMultiLvlLbl val="0"/>
      </c:catAx>
      <c:valAx>
        <c:axId val="222543192"/>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out"/>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5048702"/>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79a53735-5bc4-4826-8db3-45f1fc01ce1f}"/>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1005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自定义 10">
    <a:dk1>
      <a:srgbClr val="000000"/>
    </a:dk1>
    <a:lt1>
      <a:srgbClr val="FFFFFF"/>
    </a:lt1>
    <a:dk2>
      <a:srgbClr val="44546A"/>
    </a:dk2>
    <a:lt2>
      <a:srgbClr val="E7E6E6"/>
    </a:lt2>
    <a:accent1>
      <a:srgbClr val="3875FF"/>
    </a:accent1>
    <a:accent2>
      <a:srgbClr val="FCBE00"/>
    </a:accent2>
    <a:accent3>
      <a:srgbClr val="73A1FF"/>
    </a:accent3>
    <a:accent4>
      <a:srgbClr val="6FD5FF"/>
    </a:accent4>
    <a:accent5>
      <a:srgbClr val="FC9400"/>
    </a:accent5>
    <a:accent6>
      <a:srgbClr val="0093F0"/>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宝石蓝">
    <a:dk1>
      <a:srgbClr val="000000"/>
    </a:dk1>
    <a:lt1>
      <a:srgbClr val="FFFFFF"/>
    </a:lt1>
    <a:dk2>
      <a:srgbClr val="000000"/>
    </a:dk2>
    <a:lt2>
      <a:srgbClr val="F8F8F8"/>
    </a:lt2>
    <a:accent1>
      <a:srgbClr val="4367FD"/>
    </a:accent1>
    <a:accent2>
      <a:srgbClr val="748BF9"/>
    </a:accent2>
    <a:accent3>
      <a:srgbClr val="AEC7FF"/>
    </a:accent3>
    <a:accent4>
      <a:srgbClr val="578EF9"/>
    </a:accent4>
    <a:accent5>
      <a:srgbClr val="92BEFD"/>
    </a:accent5>
    <a:accent6>
      <a:srgbClr val="CDE4F9"/>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自定义 10">
    <a:dk1>
      <a:srgbClr val="000000"/>
    </a:dk1>
    <a:lt1>
      <a:srgbClr val="FFFFFF"/>
    </a:lt1>
    <a:dk2>
      <a:srgbClr val="44546A"/>
    </a:dk2>
    <a:lt2>
      <a:srgbClr val="E7E6E6"/>
    </a:lt2>
    <a:accent1>
      <a:srgbClr val="3875FF"/>
    </a:accent1>
    <a:accent2>
      <a:srgbClr val="FCBE00"/>
    </a:accent2>
    <a:accent3>
      <a:srgbClr val="73A1FF"/>
    </a:accent3>
    <a:accent4>
      <a:srgbClr val="6FD5FF"/>
    </a:accent4>
    <a:accent5>
      <a:srgbClr val="FC9400"/>
    </a:accent5>
    <a:accent6>
      <a:srgbClr val="0093F0"/>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自定义 10">
    <a:dk1>
      <a:srgbClr val="000000"/>
    </a:dk1>
    <a:lt1>
      <a:srgbClr val="FFFFFF"/>
    </a:lt1>
    <a:dk2>
      <a:srgbClr val="44546A"/>
    </a:dk2>
    <a:lt2>
      <a:srgbClr val="E7E6E6"/>
    </a:lt2>
    <a:accent1>
      <a:srgbClr val="3875FF"/>
    </a:accent1>
    <a:accent2>
      <a:srgbClr val="FCBE00"/>
    </a:accent2>
    <a:accent3>
      <a:srgbClr val="73A1FF"/>
    </a:accent3>
    <a:accent4>
      <a:srgbClr val="6FD5FF"/>
    </a:accent4>
    <a:accent5>
      <a:srgbClr val="FC9400"/>
    </a:accent5>
    <a:accent6>
      <a:srgbClr val="0093F0"/>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Normal.dotm</Template>
  <Pages>16</Pages>
  <Words>2037</Words>
  <Characters>2618</Characters>
  <Lines>0</Lines>
  <Paragraphs>0</Paragraphs>
  <TotalTime>3</TotalTime>
  <ScaleCrop>false</ScaleCrop>
  <LinksUpToDate>false</LinksUpToDate>
  <CharactersWithSpaces>2997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2026-09-15T13:49:00Z</dcterms:created>
  <dc:creator>Lenovo</dc:creator>
  <cp:lastModifiedBy>WPS_1662457199</cp:lastModifiedBy>
  <dcterms:modified xsi:type="dcterms:W3CDTF">2026-10-04T14:57:40Z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2E48FF57FDB54400938E7BB5260AB88C_11</vt:lpwstr>
  </property>
  <property fmtid="{D5CDD505-2E9C-101B-9397-08002B2CF9AE}" pid="4" name="KSOTemplateDocerSaveRecord">
    <vt:lpwstr>eyJoZGlkIjoiYjAxZWFmNDBmYTgyM2I0MzI0ZmQ4ZThmNDA5OWFlMTIiLCJ1c2VySWQiOiIxNDA2MTYyMTk1In0=</vt:lpwstr>
  </property>
</Properties>
</file>