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Weekly Investing Brief</w:t>
      </w:r>
    </w:p>
    <w:p>
      <w:pPr>
        <w:jc w:val="center"/>
      </w:pPr>
      <w:r>
        <w:t>2026-05-01 | Week 1 (Inaugural)</w:t>
      </w:r>
    </w:p>
    <w:p>
      <w:r>
        <w:t>Generated: 2026-05-01 17:00 NZT</w:t>
      </w:r>
    </w:p>
    <w:p/>
    <w:p>
      <w:pPr>
        <w:pStyle w:val="Heading1"/>
      </w:pPr>
      <w:r>
        <w:t>Section 1: Portfolio Overview</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cost basis (NZD)</w:t>
            </w:r>
          </w:p>
        </w:tc>
        <w:tc>
          <w:tcPr>
            <w:tcW w:type="dxa" w:w="4320"/>
          </w:tcPr>
          <w:p>
            <w:r>
              <w:t>$0.00</w:t>
            </w:r>
          </w:p>
        </w:tc>
      </w:tr>
      <w:tr>
        <w:tc>
          <w:tcPr>
            <w:tcW w:type="dxa" w:w="4320"/>
          </w:tcPr>
          <w:p>
            <w:r>
              <w:t>Total cost basis (USD)</w:t>
            </w:r>
          </w:p>
        </w:tc>
        <w:tc>
          <w:tcPr>
            <w:tcW w:type="dxa" w:w="4320"/>
          </w:tcPr>
          <w:p>
            <w:r>
              <w:t>$0.00</w:t>
            </w:r>
          </w:p>
        </w:tc>
      </w:tr>
      <w:tr>
        <w:tc>
          <w:tcPr>
            <w:tcW w:type="dxa" w:w="4320"/>
          </w:tcPr>
          <w:p>
            <w:r>
              <w:t>Total current value (USD)</w:t>
            </w:r>
          </w:p>
        </w:tc>
        <w:tc>
          <w:tcPr>
            <w:tcW w:type="dxa" w:w="4320"/>
          </w:tcPr>
          <w:p>
            <w:r>
              <w:t>$0.00</w:t>
            </w:r>
          </w:p>
        </w:tc>
      </w:tr>
      <w:tr>
        <w:tc>
          <w:tcPr>
            <w:tcW w:type="dxa" w:w="4320"/>
          </w:tcPr>
          <w:p>
            <w:r>
              <w:t>Total return</w:t>
            </w:r>
          </w:p>
        </w:tc>
        <w:tc>
          <w:tcPr>
            <w:tcW w:type="dxa" w:w="4320"/>
          </w:tcPr>
          <w:p>
            <w:r>
              <w:t>N/A</w:t>
            </w:r>
          </w:p>
        </w:tc>
      </w:tr>
      <w:tr>
        <w:tc>
          <w:tcPr>
            <w:tcW w:type="dxa" w:w="4320"/>
          </w:tcPr>
          <w:p>
            <w:r>
              <w:t>FIF trajectory</w:t>
            </w:r>
          </w:p>
        </w:tc>
        <w:tc>
          <w:tcPr>
            <w:tcW w:type="dxa" w:w="4320"/>
          </w:tcPr>
          <w:p>
            <w:r>
              <w:t>$0 / $50,000</w:t>
            </w:r>
          </w:p>
        </w:tc>
      </w:tr>
    </w:tbl>
    <w:p>
      <w:r>
        <w:t>Inaugural brief. No positions established yet. NZD $250 (~USD $146) to be deployed this week.</w:t>
      </w:r>
    </w:p>
    <w:p>
      <w:pPr>
        <w:pStyle w:val="Heading1"/>
      </w:pPr>
      <w:r>
        <w:t>Section 2: Exit Review</w:t>
      </w:r>
    </w:p>
    <w:p>
      <w:r>
        <w:t>No active holdings. Exit review not applicable this week.</w:t>
      </w:r>
    </w:p>
    <w:p>
      <w:pPr>
        <w:pStyle w:val="Heading1"/>
      </w:pPr>
      <w:r>
        <w:t>Section 3: Macro Snapshot</w:t>
      </w:r>
    </w:p>
    <w:p>
      <w:pPr>
        <w:pStyle w:val="Heading2"/>
      </w:pPr>
      <w:r>
        <w:t>Rates</w:t>
      </w:r>
    </w:p>
    <w:p>
      <w:r>
        <w:t>Fed held rates steady with hawkish tone. 10Y: 4.39% (+8bp). 2Y: 3.94% (+6bp). Curve: +45bp, normal slope.</w:t>
      </w:r>
    </w:p>
    <w:p>
      <w:pPr>
        <w:pStyle w:val="Heading2"/>
      </w:pPr>
      <w:r>
        <w:t>Flows</w:t>
      </w:r>
    </w:p>
    <w:p>
      <w:r>
        <w:t>Sector rotation intensified. Energy +21% YTD, Staples +15%, Industrials +12%. S&amp;P 500 flat YTD. Value outperforming growth. Q1 hyperscaler earnings may trigger rotation back to quality growth.</w:t>
      </w:r>
    </w:p>
    <w:p>
      <w:pPr>
        <w:pStyle w:val="Heading2"/>
      </w:pPr>
      <w:r>
        <w:t>FX</w:t>
      </w:r>
    </w:p>
    <w:p>
      <w:r>
        <w:t>NZD/USD: 0.5832 (-6.1% from 5yr mean of 0.621). Within normal range. No FX adjustment needed.</w:t>
      </w:r>
    </w:p>
    <w:p>
      <w:pPr>
        <w:pStyle w:val="Heading1"/>
      </w:pPr>
      <w:r>
        <w:t>Section 4: Gap &amp; Concentration Check</w:t>
      </w:r>
    </w:p>
    <w:p>
      <w:r>
        <w:t>No positions yet. All 3 picks are growth compounders (100%), acceptable for inaugural week. Single theme exposure (AI Infrastructure) flagged for diversification from week 2. Effective theme count: 1.</w:t>
      </w:r>
    </w:p>
    <w:p>
      <w:pPr>
        <w:pStyle w:val="Heading1"/>
      </w:pPr>
      <w:r>
        <w:t>Section 5: Theme Tracker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Theme</w:t>
            </w:r>
          </w:p>
        </w:tc>
        <w:tc>
          <w:tcPr>
            <w:tcW w:type="dxa" w:w="2160"/>
          </w:tcPr>
          <w:p>
            <w:r>
              <w:t>Status</w:t>
            </w:r>
          </w:p>
        </w:tc>
        <w:tc>
          <w:tcPr>
            <w:tcW w:type="dxa" w:w="2160"/>
          </w:tcPr>
          <w:p>
            <w:r>
              <w:t>Tickers</w:t>
            </w:r>
          </w:p>
        </w:tc>
        <w:tc>
          <w:tcPr>
            <w:tcW w:type="dxa" w:w="2160"/>
          </w:tcPr>
          <w:p>
            <w:r>
              <w:t>Updated</w:t>
            </w:r>
          </w:p>
        </w:tc>
      </w:tr>
      <w:tr>
        <w:tc>
          <w:tcPr>
            <w:tcW w:type="dxa" w:w="2160"/>
          </w:tcPr>
          <w:p>
            <w:r>
              <w:t>AI Infrastructure</w:t>
            </w:r>
          </w:p>
        </w:tc>
        <w:tc>
          <w:tcPr>
            <w:tcW w:type="dxa" w:w="2160"/>
          </w:tcPr>
          <w:p>
            <w:r>
              <w:t>Active</w:t>
            </w:r>
          </w:p>
        </w:tc>
        <w:tc>
          <w:tcPr>
            <w:tcW w:type="dxa" w:w="2160"/>
          </w:tcPr>
          <w:p>
            <w:r>
              <w:t>GOOGL, MSFT, AMZN, NVDA</w:t>
            </w:r>
          </w:p>
        </w:tc>
        <w:tc>
          <w:tcPr>
            <w:tcW w:type="dxa" w:w="2160"/>
          </w:tcPr>
          <w:p>
            <w:r>
              <w:t>2026-05-01</w:t>
            </w:r>
          </w:p>
        </w:tc>
      </w:tr>
    </w:tbl>
    <w:p>
      <w:r>
        <w:t>Hyperscaler capex: $660-690B in 2026, ~75% AI-related.</w:t>
      </w:r>
    </w:p>
    <w:p>
      <w:pPr>
        <w:pStyle w:val="Heading1"/>
      </w:pPr>
      <w:r>
        <w:t>Section 6: Inbox Insights This Week</w:t>
      </w:r>
    </w:p>
    <w:p>
      <w:r>
        <w:t>2 entries processed. No frequency flag.</w:t>
      </w:r>
    </w:p>
    <w:p>
      <w:r>
        <w:t>Tier 4 (2026-04-27): Chinese AI model gap narrowing. Noted only, never trade trigger.</w:t>
      </w:r>
    </w:p>
    <w:p>
      <w:r>
        <w:t>Tier 3 (2026-04-28): BRK.B defensive quality. Added to watchlist as "watching."</w:t>
      </w:r>
    </w:p>
    <w:p>
      <w:pPr>
        <w:pStyle w:val="Heading1"/>
      </w:pPr>
      <w:r>
        <w:t>Section 7: New Ideas</w:t>
      </w:r>
    </w:p>
    <w:p>
      <w:pPr>
        <w:pStyle w:val="Heading2"/>
      </w:pPr>
      <w:r>
        <w:t>Pick 1: GOOGL (Alphabet) - HIGH Conviction</w:t>
      </w:r>
    </w:p>
    <w:p>
      <w:r>
        <w:t>Bucket: Growth compounder | Data confidence: Full</w:t>
      </w:r>
    </w:p>
    <w:p>
      <w:r>
        <w:rPr>
          <w:b/>
        </w:rPr>
        <w:t xml:space="preserve">Bull thesis: </w:t>
      </w:r>
      <w:r>
        <w:t>Cloud revenue up 63% with margins expanding from 17.8% to 32.9%. At 32x earnings with 22% revenue growth, this is quality growth at a reasonable price.</w:t>
      </w:r>
    </w:p>
    <w:p>
      <w:r>
        <w:rPr>
          <w:b/>
        </w:rPr>
        <w:t xml:space="preserve">Bear case: </w:t>
      </w:r>
      <w:r>
        <w:t>Search faces AI-native disruption (ChatGPT, Perplexity). $175-185B capex ROI unproven. 34% April rally prices in good news. DOJ antitrust risk. Other Bets burn $1.5B+/quarter. At 32x, multiple contraction risk in rising rate environment.</w:t>
      </w:r>
    </w:p>
    <w:p>
      <w:r>
        <w:t>Entry zone: Within 5% of current (~$366-$386)</w:t>
      </w:r>
    </w:p>
    <w:p>
      <w:r>
        <w:t>Invalidation: Cloud growth &lt;30% for 2 quarters + margins &lt;25%. Or search revenue declines YoY.</w:t>
      </w:r>
    </w:p>
    <w:p>
      <w:r>
        <w:t>Allocation: NZD $100</w:t>
      </w:r>
    </w:p>
    <w:p>
      <w:pPr>
        <w:pStyle w:val="Heading2"/>
      </w:pPr>
      <w:r>
        <w:t>Pick 2: MSFT (Microsoft) - HIGH Conviction</w:t>
      </w:r>
    </w:p>
    <w:p>
      <w:r>
        <w:t>Bucket: Growth compounder | Data confidence: Full</w:t>
      </w:r>
    </w:p>
    <w:p>
      <w:r>
        <w:rPr>
          <w:b/>
        </w:rPr>
        <w:t xml:space="preserve">Bull thesis: </w:t>
      </w:r>
      <w:r>
        <w:t>Azure grew 40%. At 25x P/E (19% below 10-year median), cheapest relative to history. Deepest enterprise distribution moat in tech.</w:t>
      </w:r>
    </w:p>
    <w:p>
      <w:r>
        <w:rPr>
          <w:b/>
        </w:rPr>
        <w:t xml:space="preserve">Bear case: </w:t>
      </w:r>
      <w:r>
        <w:t>$190B capex may not generate adequate returns. OpenAI relationship evolving unpredictably. PC market flat. Copilot adoption slower than expected. Google Cloud growing at nearly 2x Azure rate. Gaming synergies unproven. Discount may reflect legitimate capital allocation concerns.</w:t>
      </w:r>
    </w:p>
    <w:p>
      <w:r>
        <w:t>Entry zone: Within 5% of current (~$397-$418)</w:t>
      </w:r>
    </w:p>
    <w:p>
      <w:r>
        <w:t>Invalidation: Azure growth &lt;25% for 2 quarters, or total revenue growth &lt;10% YoY.</w:t>
      </w:r>
    </w:p>
    <w:p>
      <w:r>
        <w:t>Allocation: NZD $100</w:t>
      </w:r>
    </w:p>
    <w:p>
      <w:pPr>
        <w:pStyle w:val="Heading2"/>
      </w:pPr>
      <w:r>
        <w:t>Pick 3: AMZN (Amazon) - MEDIUM Conviction</w:t>
      </w:r>
    </w:p>
    <w:p>
      <w:r>
        <w:t>Bucket: Growth compounder | Data confidence: Full</w:t>
      </w:r>
    </w:p>
    <w:p>
      <w:r>
        <w:rPr>
          <w:b/>
        </w:rPr>
        <w:t xml:space="preserve">Bull thesis: </w:t>
      </w:r>
      <w:r>
        <w:t>AWS re-accelerated to 28% (15-quarter high). Record 13.1% operating margin. Dual growth engine with retail margins expanding.</w:t>
      </w:r>
    </w:p>
    <w:p>
      <w:r>
        <w:rPr>
          <w:b/>
        </w:rPr>
        <w:t xml:space="preserve">Bear case: </w:t>
      </w:r>
      <w:r>
        <w:t>$200B capex (largest ever). FCF collapsed from $25.9B to $1.2B. Google Cloud gaining share at 63%. Retail pressure from Temu/Shein. At ATH with no room for misses. Anthropic concentration risk.</w:t>
      </w:r>
    </w:p>
    <w:p>
      <w:r>
        <w:t>Entry zone: Within 5% of current (~$250-$264)</w:t>
      </w:r>
    </w:p>
    <w:p>
      <w:r>
        <w:t>Invalidation: AWS growth &lt;20% for 2 quarters, or operating margins &lt;10%.</w:t>
      </w:r>
    </w:p>
    <w:p>
      <w:r>
        <w:t>Allocation: NZD $50</w:t>
      </w:r>
    </w:p>
    <w:p>
      <w:pPr>
        <w:pStyle w:val="Heading1"/>
      </w:pPr>
      <w:r>
        <w:t>Section 8: Watchlist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Ticker</w:t>
            </w:r>
          </w:p>
        </w:tc>
        <w:tc>
          <w:tcPr>
            <w:tcW w:type="dxa" w:w="2880"/>
          </w:tcPr>
          <w:p>
            <w:r>
              <w:t>Status</w:t>
            </w:r>
          </w:p>
        </w:tc>
        <w:tc>
          <w:tcPr>
            <w:tcW w:type="dxa" w:w="2880"/>
          </w:tcPr>
          <w:p>
            <w:r>
              <w:t>Key Catalyst</w:t>
            </w:r>
          </w:p>
        </w:tc>
      </w:tr>
      <w:tr>
        <w:tc>
          <w:tcPr>
            <w:tcW w:type="dxa" w:w="2880"/>
          </w:tcPr>
          <w:p>
            <w:r>
              <w:t>NVDA</w:t>
            </w:r>
          </w:p>
        </w:tc>
        <w:tc>
          <w:tcPr>
            <w:tcW w:type="dxa" w:w="2880"/>
          </w:tcPr>
          <w:p>
            <w:r>
              <w:t>Watching</w:t>
            </w:r>
          </w:p>
        </w:tc>
        <w:tc>
          <w:tcPr>
            <w:tcW w:type="dxa" w:w="2880"/>
          </w:tcPr>
          <w:p>
            <w:r>
              <w:t>Earnings May 20</w:t>
            </w:r>
          </w:p>
        </w:tc>
      </w:tr>
      <w:tr>
        <w:tc>
          <w:tcPr>
            <w:tcW w:type="dxa" w:w="2880"/>
          </w:tcPr>
          <w:p>
            <w:r>
              <w:t>BRK.B</w:t>
            </w:r>
          </w:p>
        </w:tc>
        <w:tc>
          <w:tcPr>
            <w:tcW w:type="dxa" w:w="2880"/>
          </w:tcPr>
          <w:p>
            <w:r>
              <w:t>Watching</w:t>
            </w:r>
          </w:p>
        </w:tc>
        <w:tc>
          <w:tcPr>
            <w:tcW w:type="dxa" w:w="2880"/>
          </w:tcPr>
          <w:p>
            <w:r>
              <w:t>AGM May 2</w:t>
            </w:r>
          </w:p>
        </w:tc>
      </w:tr>
      <w:tr>
        <w:tc>
          <w:tcPr>
            <w:tcW w:type="dxa" w:w="2880"/>
          </w:tcPr>
          <w:p>
            <w:r>
              <w:t>PLTR</w:t>
            </w:r>
          </w:p>
        </w:tc>
        <w:tc>
          <w:tcPr>
            <w:tcW w:type="dxa" w:w="2880"/>
          </w:tcPr>
          <w:p>
            <w:r>
              <w:t>Flagged</w:t>
            </w:r>
          </w:p>
        </w:tc>
        <w:tc>
          <w:tcPr>
            <w:tcW w:type="dxa" w:w="2880"/>
          </w:tcPr>
          <w:p>
            <w:r>
              <w:t>Earnings May 4</w:t>
            </w:r>
          </w:p>
        </w:tc>
      </w:tr>
      <w:tr>
        <w:tc>
          <w:tcPr>
            <w:tcW w:type="dxa" w:w="2880"/>
          </w:tcPr>
          <w:p>
            <w:r>
              <w:t>CRWD</w:t>
            </w:r>
          </w:p>
        </w:tc>
        <w:tc>
          <w:tcPr>
            <w:tcW w:type="dxa" w:w="2880"/>
          </w:tcPr>
          <w:p>
            <w:r>
              <w:t>Flagged</w:t>
            </w:r>
          </w:p>
        </w:tc>
        <w:tc>
          <w:tcPr>
            <w:tcW w:type="dxa" w:w="2880"/>
          </w:tcPr>
          <w:p>
            <w:r>
              <w:t>ARR trajectory</w:t>
            </w:r>
          </w:p>
        </w:tc>
      </w:tr>
      <w:tr>
        <w:tc>
          <w:tcPr>
            <w:tcW w:type="dxa" w:w="2880"/>
          </w:tcPr>
          <w:p>
            <w:r>
              <w:t>CELH</w:t>
            </w:r>
          </w:p>
        </w:tc>
        <w:tc>
          <w:tcPr>
            <w:tcW w:type="dxa" w:w="2880"/>
          </w:tcPr>
          <w:p>
            <w:r>
              <w:t>Flagged</w:t>
            </w:r>
          </w:p>
        </w:tc>
        <w:tc>
          <w:tcPr>
            <w:tcW w:type="dxa" w:w="2880"/>
          </w:tcPr>
          <w:p>
            <w:r>
              <w:t>Q1 earnings May 7</w:t>
            </w:r>
          </w:p>
        </w:tc>
      </w:tr>
    </w:tbl>
    <w:p>
      <w:pPr>
        <w:pStyle w:val="Heading1"/>
      </w:pPr>
      <w:r>
        <w:t>Section 9: Weekly Allocation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Pick</w:t>
            </w:r>
          </w:p>
        </w:tc>
        <w:tc>
          <w:tcPr>
            <w:tcW w:type="dxa" w:w="2160"/>
          </w:tcPr>
          <w:p>
            <w:r>
              <w:t>Conviction</w:t>
            </w:r>
          </w:p>
        </w:tc>
        <w:tc>
          <w:tcPr>
            <w:tcW w:type="dxa" w:w="2160"/>
          </w:tcPr>
          <w:p>
            <w:r>
              <w:t>NZD</w:t>
            </w:r>
          </w:p>
        </w:tc>
        <w:tc>
          <w:tcPr>
            <w:tcW w:type="dxa" w:w="2160"/>
          </w:tcPr>
          <w:p>
            <w:r>
              <w:t>USD (approx.)</w:t>
            </w:r>
          </w:p>
        </w:tc>
      </w:tr>
      <w:tr>
        <w:tc>
          <w:tcPr>
            <w:tcW w:type="dxa" w:w="2160"/>
          </w:tcPr>
          <w:p>
            <w:r>
              <w:t>GOOGL</w:t>
            </w:r>
          </w:p>
        </w:tc>
        <w:tc>
          <w:tcPr>
            <w:tcW w:type="dxa" w:w="2160"/>
          </w:tcPr>
          <w:p>
            <w:r>
              <w:t>HIGH</w:t>
            </w:r>
          </w:p>
        </w:tc>
        <w:tc>
          <w:tcPr>
            <w:tcW w:type="dxa" w:w="2160"/>
          </w:tcPr>
          <w:p>
            <w:r>
              <w:t>$100</w:t>
            </w:r>
          </w:p>
        </w:tc>
        <w:tc>
          <w:tcPr>
            <w:tcW w:type="dxa" w:w="2160"/>
          </w:tcPr>
          <w:p>
            <w:r>
              <w:t>~$58</w:t>
            </w:r>
          </w:p>
        </w:tc>
      </w:tr>
      <w:tr>
        <w:tc>
          <w:tcPr>
            <w:tcW w:type="dxa" w:w="2160"/>
          </w:tcPr>
          <w:p>
            <w:r>
              <w:t>MSFT</w:t>
            </w:r>
          </w:p>
        </w:tc>
        <w:tc>
          <w:tcPr>
            <w:tcW w:type="dxa" w:w="2160"/>
          </w:tcPr>
          <w:p>
            <w:r>
              <w:t>HIGH</w:t>
            </w:r>
          </w:p>
        </w:tc>
        <w:tc>
          <w:tcPr>
            <w:tcW w:type="dxa" w:w="2160"/>
          </w:tcPr>
          <w:p>
            <w:r>
              <w:t>$100</w:t>
            </w:r>
          </w:p>
        </w:tc>
        <w:tc>
          <w:tcPr>
            <w:tcW w:type="dxa" w:w="2160"/>
          </w:tcPr>
          <w:p>
            <w:r>
              <w:t>~$58</w:t>
            </w:r>
          </w:p>
        </w:tc>
      </w:tr>
      <w:tr>
        <w:tc>
          <w:tcPr>
            <w:tcW w:type="dxa" w:w="2160"/>
          </w:tcPr>
          <w:p>
            <w:r>
              <w:t>AMZN</w:t>
            </w:r>
          </w:p>
        </w:tc>
        <w:tc>
          <w:tcPr>
            <w:tcW w:type="dxa" w:w="2160"/>
          </w:tcPr>
          <w:p>
            <w:r>
              <w:t>MEDIUM</w:t>
            </w:r>
          </w:p>
        </w:tc>
        <w:tc>
          <w:tcPr>
            <w:tcW w:type="dxa" w:w="2160"/>
          </w:tcPr>
          <w:p>
            <w:r>
              <w:t>$50</w:t>
            </w:r>
          </w:p>
        </w:tc>
        <w:tc>
          <w:tcPr>
            <w:tcW w:type="dxa" w:w="2160"/>
          </w:tcPr>
          <w:p>
            <w:r>
              <w:t>~$29</w:t>
            </w:r>
          </w:p>
        </w:tc>
      </w:tr>
      <w:tr>
        <w:tc>
          <w:tcPr>
            <w:tcW w:type="dxa" w:w="2160"/>
          </w:tcPr>
          <w:p>
            <w:r>
              <w:rPr>
                <w:b/>
              </w:rPr>
              <w:t>TOTAL</w:t>
            </w:r>
          </w:p>
        </w:tc>
        <w:tc>
          <w:tcPr>
            <w:tcW w:type="dxa" w:w="2160"/>
          </w:tcPr>
          <w:p>
            <w:r>
              <w:rPr>
                <w:b/>
              </w:rPr>
            </w:r>
          </w:p>
        </w:tc>
        <w:tc>
          <w:tcPr>
            <w:tcW w:type="dxa" w:w="2160"/>
          </w:tcPr>
          <w:p>
            <w:r>
              <w:rPr>
                <w:b/>
              </w:rPr>
              <w:t>$250</w:t>
            </w:r>
          </w:p>
        </w:tc>
        <w:tc>
          <w:tcPr>
            <w:tcW w:type="dxa" w:w="2160"/>
          </w:tcPr>
          <w:p>
            <w:r>
              <w:rPr>
                <w:b/>
              </w:rPr>
              <w:t>~$146</w:t>
            </w:r>
          </w:p>
        </w:tc>
      </w:tr>
    </w:tbl>
    <w:p>
      <w:pPr>
        <w:pStyle w:val="Heading1"/>
      </w:pPr>
      <w:r>
        <w:t>Section 10: This Week's Synthesis</w:t>
      </w:r>
    </w:p>
    <w:p>
      <w:r>
        <w:rPr>
          <w:b/>
        </w:rPr>
        <w:t xml:space="preserve">Highest-conviction pick: GOOGL. </w:t>
      </w:r>
      <w:r>
        <w:t>Cloud inflecting to profitability at 63% growth, search moat intact, best month since 2004. At 32x earnings with 22% revenue growth, best risk-adjusted entry into AI infrastructure for a new portfolio.</w:t>
      </w:r>
    </w:p>
    <w:p/>
    <w:p>
      <w:r>
        <w:rPr>
          <w:b/>
        </w:rPr>
        <w:t xml:space="preserve">What to pass on: NVDA. </w:t>
      </w:r>
      <w:r>
        <w:t>Despite dominant AI chip positioning, the -4% drop on own-chip news and earnings May 20 create near-term uncertainty. Wait for post-earnings clarity.</w:t>
      </w:r>
    </w:p>
    <w:p>
      <w:pPr>
        <w:pStyle w:val="Heading1"/>
      </w:pPr>
      <w:r>
        <w:t>Section 11: Knowledge Graph Updates</w:t>
      </w:r>
    </w:p>
    <w:p>
      <w:r>
        <w:t>Created AI Infrastructure theme note linked to GOOGL, MSFT, AMZN, NVDA.</w:t>
      </w:r>
    </w:p>
    <w:p>
      <w:r>
        <w:t>Created stock notes: GOOGL, MSFT, AMZN.</w:t>
      </w:r>
    </w:p>
    <w:p>
      <w:r>
        <w:t>BRK.B, PLTR, CRWD, CELH on watchlist without full stock notes.</w:t>
      </w:r>
    </w:p>
    <w:p>
      <w:pPr>
        <w:pStyle w:val="Heading1"/>
      </w:pPr>
      <w:r>
        <w:t>Section 12: Trade Confirmation</w:t>
      </w:r>
    </w:p>
    <w:p>
      <w:r>
        <w:t>Reply with trades placed in the format:</w:t>
      </w:r>
    </w:p>
    <w:p>
      <w:r>
        <w:rPr>
          <w:i/>
        </w:rPr>
        <w:t>"Bought X.XX TICKER at $YY.YY on YYYY-MM-DD"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