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Metadata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author: jfraze@mycomp.org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title: Hospital AI Governance Framework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nist_function: Govern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priority_phase: Must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last_reviewed: 2025-06-24</w:t>
      </w:r>
    </w:p>
    <w:p>
      <w:pPr>
        <w:spacing w:line="240" w:lineRule="auto" w:after="0" w:before="0"/>
      </w:pPr>
      <w:r>
        <w:rPr>
          <w:rFonts w:ascii="Calibri" w:hAnsi="Calibri"/>
          <w:b w:val="0"/>
          <w:color w:val="666666"/>
          <w:sz w:val="22"/>
        </w:rPr>
        <w:t>status: draft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To define the formal governance structure for AI and GenAI oversight across the hospital enterprise, integrating compliance, clinical, IT, and ethical controls.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Applies to all AI systems managed, developed, or procured across the organization, including those used in diagnostics, ambient documentation, scheduling, patient interaction, and operational optimization.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Policy Statement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hospital must maintain an enterprise AI governance framework that enforces clear roles, lifecycle management checkpoints, ethics review, and internal accountability structures. Governance must incorporate sector-specific laws and emerging risks from GenAI technologies.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Roles and Responsibilities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Governance Committee: Reviews AI/GenAI systems at pre-deployment and annual checkpoints.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Legal &amp; Compliance: Maintains regulatory audit readiness and enforcement procedures.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Model Risk Review Panel: Applies risk rating criteria across model types and vendors.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Implementation Phases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Must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Require all GenAI models to pass governance review before deployment (GOV-4.2).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Create and enforce AI system registration and version logging.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Document governance decisions and system risk profiles in a central repository.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Should Do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Link AI governance checkpoints to hospital incident response and change control (SP 800-61r3).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Use structured governance artifacts: risk rating matrix, model audit trail, usage logs.</w:t>
      </w:r>
    </w:p>
    <w:p>
      <w:pPr>
        <w:pStyle w:val="Heading3"/>
      </w:pPr>
      <w:r>
        <w:rPr>
          <w:rFonts w:ascii="Calibri" w:hAnsi="Calibri"/>
          <w:b/>
          <w:color w:val="000080"/>
          <w:sz w:val="24"/>
        </w:rPr>
        <w:t>Recommended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Implement ethical oversight workflows for models impacting patient consent, diagnosis, or treatment (AI 600-1 §2.5).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Use governance analytics (e.g., drift detection dashboards, failure mode logs) to guide model reviews.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References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RMF: GOVERN-4, GOVERN-5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NIST AI 600-1: §2.1, §2.5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FDA AI/ML SaMD: PCCP Guidelines (2024)</w:t>
      </w:r>
    </w:p>
    <w:p>
      <w:pPr>
        <w:spacing w:line="240" w:lineRule="auto" w:after="0"/>
        <w:ind w:left="360"/>
      </w:pPr>
      <w:r>
        <w:rPr>
          <w:rFonts w:ascii="Calibri" w:hAnsi="Calibri"/>
          <w:b w:val="0"/>
          <w:color w:val="000000"/>
          <w:sz w:val="22"/>
        </w:rPr>
        <w:t>• HIPAA §164.308(a)(1)(ii)(D) – Evaluation</w:t>
      </w:r>
    </w:p>
    <w:p>
      <w:pPr>
        <w:pStyle w:val="Heading2"/>
      </w:pPr>
      <w:r>
        <w:rPr>
          <w:rFonts w:ascii="Calibri" w:hAnsi="Calibri"/>
          <w:b/>
          <w:color w:val="8B0000"/>
          <w:sz w:val="28"/>
        </w:rPr>
        <w:t>Review Cycle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Every 12 months, or following a major incident, drift event, or regulatory change.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