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Transparency and Explainability in GenAI Use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Measure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promote responsible deployment of GenAI by requiring that outputs, system behavior, and underlying decision paths be interpretable by human reviewers, especially in clinical or patient-facing contexts.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Covers all deployed GenAI systems used for summarization, decision support, triage, documentation, or direct communication in hospital settings.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generative AI outputs that affect patient care or hospital operations must be explainable in a manner appropriate to the target audience (e.g., clinicians, patients, regulators). Explainability measures should be technical (model-level) and contextual (use-level).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Ethics Committee: Define organizational transparency thresholds and acceptability criteria.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Developers &amp; Integrators: Embed explanation capabilities, such as rationale snippets or attention maps.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Stakeholders: Validate explanations for utility in care workflows and patient trust.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Enable user-accessible rationale or justification snippets (AI 600-1 §2.4.1).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Mark model-generated content with visible indicators (AI RMF MEASURE-2.6).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Provide documentation on how outputs are produced and ranked.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saliency or attention visualizations for internal model interpretability.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Train staff on interpreting GenAI outputs and known failure modes.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Integrate explainability with audit trails and risk scoring systems.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Provide explainable layers for regulators and auditors.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Tailor explainability modes to patient literacy and accessibility needs.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