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Metadata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author: jfraze@mycomp.org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title: Incident Response and Model Escalation Procedures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nist_function: Manage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priority_phase: Must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last_reviewed: 2025-06-24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status: draft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Purpose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To define structured incident response and escalation procedures for failures, breaches, or anomalies in generative AI system behavior—supporting containment, remediation, and legal/compliance reporting.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Scope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Applies to all GenAI systems producing patient-visible outputs, interacting with protected health data, or integrating third-party generative models within hospital systems.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Policy Statement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GenAI-related incidents—including hallucinations, prompt injection, unauthorized PHI exposure, and model drift—must trigger documented escalation and response workflows coordinated with cybersecurity, clinical, and compliance stakeholders.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Roles and Responsibilities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Security Operations: Own GenAI incident detection, triage, and containment (aligned to NIST 800-61r3).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AI Governance Board: Review root cause and corrective actions post-incident.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Clinical Risk Managers: Escalate AI-driven misdiagnoses or unsafe recommendations.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Legal &amp; Compliance: Coordinate disclosure, audit logs, and external regulatory reporting.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Implementation Phases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Must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Define GenAI-specific incident types and risk thresholds (e.g., hallucination &gt; 5%).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Integrate GenAI event classes into hospital-wide incident response plan (SP 800-61r3).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Require incident reports for jailbreaking, PHI leakage, or misuse triggers.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Should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Conduct tabletop exercises simulating GenAI failures.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Tag logs and incidents to affected model version and data segment.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Escalate incidents to HHS/FDA/ONC when required by law (HIPAA, 45 CFR §164.308).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Recommended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Maintain a registry of known GenAI incident types and response playbooks.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Share anonymized incident learnings with external safety consortia (e.g., CAIRN, CISA).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References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NIST AI RMF: MANAGE-3.1, MANAGE-4.1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NIST AI 600-1: §2.1.3, §2.3.1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NIST SP 800-61r3 (April 2024 IPD)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HIPAA Security Rule: §164.308(a)(6)(ii)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Review Cycle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Incident-driven, and annually during cybersecurity readiness audits.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