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Model Monitoring and Event Logging for GenAI Systems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Manage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require real-time and post-hoc monitoring of generative AI system behavior, with event logging for traceability, drift detection, incident response, and compliance with hospital policies.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Covers all GenAI systems deployed in production environments, including clinical NLP tools, LLM-powered bots, and external API integrations with content generation capabilities.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All deployed GenAI systems must support active behavioral monitoring and log critical events—including model output anomalies, drift indicators, and inference boundary violations—to designated governance bodies and security tools.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System Owners: Ensure runtime telemetry, prompt/output logging, and drift detection are operational.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IT Security Team: Integrate logs with SIEM and incident response pipelines (NIST 800-61r3).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Compliance &amp; Risk: Monitor logs for safety, privacy, and regulatory triggers.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Clinical Leads: Validate alerts tied to clinical safety and patient interaction.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Log prompts and outputs under defined security classifications.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Detect and alert on hallucination rate thresholds and unexpected behavior (AI 600-1 §2.3.1).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inference-time logging and model drift metrics (MANAGE-2.1).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anomaly scoring and natural language output classifiers.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Store logs in tamper-evident formats and retain per audit standards.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Link logs to role-based dashboards for clinical governance review.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Integrate logging with real-time safety triggers (e.g., “kill switches”).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federated signal sharing for jailbreaking and misuse indicators (top-AI-vuln #4, #6).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synthetic output watermarking for downstream traceability (AI 600-1 §2.4.1).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MANAGE-2.1, MANAGE-4.1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600-1: §2.3.1, §2.4.1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SP 800-61r3: Incident response guidelines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HIPAA §164.308(a)(1)(ii)(D)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Post-deployment and quarterly review; immediately after any detected model drift or safety incident.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