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Third-Party Generative AI Vendor Risks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Manage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govern and mitigate risks associated with the use of third-party generative AI tools, APIs, or models integrated into hospital systems, ensuring security, compliance, and trustworthiness.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Covers all third-party GenAI tools, APIs, SaaS platforms, and hosted LLM services procured or integrated into hospital IT environments—including virtual scribes, chatbot assistants, clinical summarizers, and analytics models.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Third-party GenAI systems must undergo security, provenance, and risk posture evaluation aligned with NIST SP 800-218A, NIST AI RMF, and AI 600-1 controls before deployment or contract execution. Vendor services must demonstrate compliance with data handling, inference boundary controls, and misuse prevention standards.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Procurement and Legal: Require vendor attestation to AI usage, training data sources, and security practices.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Information Security: Perform risk assessments of APIs, SDKs, and hosted model interfaces.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Informatics: Validate that vendor outputs are appropriate for intended healthcare contexts.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Vendor Management: Track contractually required SLAs for drift monitoring, update notification, and incident reporting.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SBOM-equivalent for model artifacts: base model lineage, fine-tuning steps, and plugin metadata (SP 800-218A §3.3).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Enforce data boundary controls: confirm vendor cannot store PHI unless explicitly permitted.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vendor-hosted model red-team simulation or require result disclosure.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Review third-party GenAI provider’s incident response and model update policies (NIST 800-61r3 alignment).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Mandate logging and access control auditability for any model capable of PHI inference.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Verify existence of misuse detection systems (e.g., prompt abuse, re-identification, LLM jailbreaks).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Check for vendor transparency disclosures (e.g., OpenAI System Card, Google Vertex AI summaries).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Maintain internal registry of all GenAI vendors with risk tiering and deployment zones.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Participate in third-party risk exchanges or threat-sharing networks for LLM misuse signals.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model performance degradation SLAs or alert thresholds.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SP 800-218A §3.3, §5.2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GOVERN-4, MANAGE-2.3, MANAGE-4.2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§2.2.2, §2.5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Top Vulnerabilities: #12 Supply Chain, #18 Misuse, #16 Alignment Drift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Prior to initial contract signing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At model version change, interface upgrade, or change in hosting vendor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