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Metadata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author: jfraze@mycomp.org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title: Model Retirement and Decommissioning Procedures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nist_function: Manage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priority_phase: Must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last_reviewed: 2025-06-24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status: draft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Purpose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To define structured procedures for retiring, replacing, or decommissioning generative AI systems—ensuring safe offboarding, risk mitigation, and regulatory closure.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Scope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Applies to all GenAI systems approaching end-of-life status, whether due to model performance degradation, contractual expiration, technological obsolescence, or identified safety concerns.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Policy Statement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All decommissioned GenAI systems must be retired in a controlled, auditable, and reversible manner that preserves hospital data, revokes system access, and aligns with incident response and drift detection insights.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Roles and Responsibilities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Model Owners: Initiate and document decommissioning activities.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IT Security: Revoke credentials, disable APIs, and retire associated infrastructure.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Compliance Team: Confirm that PHI, logs, and artifacts are archived or purged per policy.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Implementation Phases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Must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Apply formal decommissioning checklist (e.g., NIST AI RMF MANAGE-4.1).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Retire and isolate models triggering repeated hallucinations, drift, or misuse alerts.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Log model retirement in the AI system inventory (MAP-4.2).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Should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Perform final performance validation and produce an end-of-life report.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Update governance registry and notify stakeholders.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Retain explainability documentation and audit logs for regulatory audits.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Recommended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Conduct post-retirement review of system impact and lessons learned.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Store decommissioned artifacts in secured long-term archive with access controls.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