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Results Narrative Authenticity Rubric</w:t>
      </w:r>
    </w:p>
    <w:p>
      <w:pPr>
        <w:pBdr>
          <w:bottom w:val="single" w:color="CCCCCC" w:sz="6"/>
        </w:pBdr>
        <w:spacing w:before="120" w:after="120"/>
      </w:pPr>
    </w:p>
    <w:p>
      <w:pPr>
        <w:pStyle w:val="Heading2"/>
        <w:spacing w:before="240" w:after="120"/>
      </w:pPr>
      <w:r>
        <w:t xml:space="preserve">Purpose</w:t>
      </w:r>
    </w:p>
    <w:p>
      <w:pPr>
        <w:spacing w:after="120"/>
      </w:pPr>
      <w:r>
        <w:t xml:space="preserve">This rubric is designed to assess whether a Results Narrative is credible and trustworthy to an informed external reader. A narrative that scores well on this rubric does not simply report success — it demonstrates that the WBG has honestly engaged with what was difficult, what remains incomplete, and what was learned. This builds reader trust more effectively than a polished but unqualified success story.</w:t>
      </w:r>
    </w:p>
    <w:p>
      <w:pPr>
        <w:spacing w:after="120"/>
      </w:pPr>
      <w:r>
        <w:t xml:space="preserve">The rubric is organized around five dimensions. Each dimension is scored on a 1–3 scale. A total score of 13–15 reflects a highly credible narrative. A score below 9 suggests the narrative reads as promotional rather than analytical and should be revised.</w:t>
      </w:r>
    </w:p>
    <w:p>
      <w:pPr>
        <w:pBdr>
          <w:bottom w:val="single" w:color="CCCCCC" w:sz="6"/>
        </w:pBdr>
        <w:spacing w:before="120" w:after="120"/>
      </w:pPr>
    </w:p>
    <w:p>
      <w:pPr>
        <w:pStyle w:val="Heading2"/>
        <w:spacing w:before="240" w:after="120"/>
      </w:pPr>
      <w:r>
        <w:t xml:space="preserve">The Five Dimensions</w:t>
      </w:r>
    </w:p>
    <w:p>
      <w:pPr>
        <w:pBdr>
          <w:bottom w:val="single" w:color="CCCCCC" w:sz="6"/>
        </w:pBdr>
        <w:spacing w:before="120" w:after="120"/>
      </w:pPr>
    </w:p>
    <w:p>
      <w:pPr>
        <w:pStyle w:val="Heading3"/>
        <w:spacing w:before="240" w:after="120"/>
      </w:pPr>
      <w:r>
        <w:t xml:space="preserve">Dimension 1 — Honest Characterization of the Challenge</w:t>
      </w:r>
    </w:p>
    <w:p>
      <w:pPr>
        <w:spacing w:after="120"/>
      </w:pPr>
      <w:r>
        <w:t xml:space="preserve">Does the narrative describe the constraint it addresses in terms that acknowledge genuine difficulty?</w:t>
      </w:r>
    </w:p>
    <w:p>
      <w:pPr>
        <w:spacing w:after="120"/>
      </w:pPr>
      <w:r>
        <w:t xml:space="preserve">This dimension assesses whether the narrative takes the problem seriously. A credible narrative does not present challenges as easily solvable or as problems the WBG was obviously positioned to fix. It conveys why the constraint was hard — politically, technically, institutionally — and why previous attempts (by others, or by the WBG itself) had not fully succeeded.</w:t>
      </w:r>
    </w:p>
    <w:p>
      <w:pPr>
        <w:spacing w:after="120"/>
      </w:pPr>
      <w:r>
        <w:t xml:space="preserve">Score 3 — Strong: The challenge is described with specificity and candor. The narrative explains why this constraint is resistant to standard solutions and, where relevant, notes that earlier approaches fell short. The reader understands why this was difficult before reading about the response.</w:t>
      </w:r>
    </w:p>
    <w:p>
      <w:pPr>
        <w:spacing w:after="120"/>
      </w:pPr>
      <w:r>
        <w:t xml:space="preserve">Score 2 — Adequate: The challenge is described concretely but is framed primarily as a setup for the WBG response. The difficulty is acknowledged but not probed. A skeptical reader might feel the problem was made to seem more tractable than it was.</w:t>
      </w:r>
    </w:p>
    <w:p>
      <w:pPr>
        <w:spacing w:after="120"/>
      </w:pPr>
      <w:r>
        <w:t xml:space="preserve">Score 1 — Weak: The challenge section reads as generic background. The constraint is described in broad terms that apply to many countries or contexts. There is no acknowledgment of why previous efforts had not resolved it. The narrative moves too quickly to what the WBG did.</w:t>
      </w:r>
    </w:p>
    <w:p>
      <w:pPr>
        <w:spacing w:after="120"/>
      </w:pPr>
      <w:r>
        <w:t xml:space="preserve">What to avoid: Naming specific political actors, administrations, or individuals as the source of the problem. Framing should be structural and systemic — "the absence of a functioning land registry" rather than "the government's failure to invest in land administration."</w:t>
      </w:r>
    </w:p>
    <w:p>
      <w:pPr>
        <w:pBdr>
          <w:bottom w:val="single" w:color="CCCCCC" w:sz="6"/>
        </w:pBdr>
        <w:spacing w:before="120" w:after="120"/>
      </w:pPr>
    </w:p>
    <w:p>
      <w:pPr>
        <w:pStyle w:val="Heading3"/>
        <w:spacing w:before="240" w:after="120"/>
      </w:pPr>
      <w:r>
        <w:t xml:space="preserve">Dimension 2 — Causal Humility</w:t>
      </w:r>
    </w:p>
    <w:p>
      <w:pPr>
        <w:spacing w:after="120"/>
      </w:pPr>
      <w:r>
        <w:t xml:space="preserve">Does the narrative avoid overclaiming the WBG's contribution to outcomes?</w:t>
      </w:r>
    </w:p>
    <w:p>
      <w:pPr>
        <w:spacing w:after="120"/>
      </w:pPr>
      <w:r>
        <w:t xml:space="preserve">This is the most technically demanding dimension. Development outcomes are rarely the product of a single actor. A credible narrative distinguishes between what the WBG did, what intermediate changes followed, and what broader forces also contributed to the high-level outcome. Claiming full credit for a country's economic growth or poverty reduction — even where WBG support was significant — undermines credibility.</w:t>
      </w:r>
    </w:p>
    <w:p>
      <w:pPr>
        <w:spacing w:after="120"/>
      </w:pPr>
      <w:r>
        <w:t xml:space="preserve">Score 3 — Strong: The narrative explicitly acknowledges co-contributors to the outcome (government leadership, other donors, private sector actors, favorable macro conditions). Where attribution is uncertain, the language reflects this ("WBG support contributed to," "alongside reforms supported by"). The narrative explains why WBG involvement was non-trivial without claiming it was sufficient.</w:t>
      </w:r>
    </w:p>
    <w:p>
      <w:pPr>
        <w:spacing w:after="120"/>
      </w:pPr>
      <w:r>
        <w:t xml:space="preserve">Score 2 — Adequate: The narrative uses appropriately hedged language but does not name co-contributors or explain the broader enabling conditions. Attribution is not overstated, but the WBG's contribution is also not placed in context. A careful reader would note the absence of context but would not find the narrative dishonest.</w:t>
      </w:r>
    </w:p>
    <w:p>
      <w:pPr>
        <w:spacing w:after="120"/>
      </w:pPr>
      <w:r>
        <w:t xml:space="preserve">Score 1 — Weak: The narrative implies — through language or structure — that WBG support was the primary or sufficient cause of the development outcome. Co-contributors are absent. Results are presented as direct consequences of WBG activities with no acknowledgment of the broader environment in which they occurred.</w:t>
      </w:r>
    </w:p>
    <w:p>
      <w:pPr>
        <w:spacing w:after="120"/>
      </w:pPr>
      <w:r>
        <w:t xml:space="preserve">What to avoid: Phrases such as "the WBG transformed," "the WBG achieved," or "thanks to WBG support, [country] now has..." These formulations erase other actors and overstate influence.</w:t>
      </w:r>
    </w:p>
    <w:p>
      <w:pPr>
        <w:pBdr>
          <w:bottom w:val="single" w:color="CCCCCC" w:sz="6"/>
        </w:pBdr>
        <w:spacing w:before="120" w:after="120"/>
      </w:pPr>
    </w:p>
    <w:p>
      <w:pPr>
        <w:pStyle w:val="Heading3"/>
        <w:spacing w:before="240" w:after="120"/>
      </w:pPr>
      <w:r>
        <w:t xml:space="preserve">Dimension 3 — Acknowledgment of Obstacles and Incomplete Results</w:t>
      </w:r>
    </w:p>
    <w:p>
      <w:pPr>
        <w:spacing w:after="120"/>
      </w:pPr>
      <w:r>
        <w:t xml:space="preserve">Does the narrative honestly describe where progress was slower, harder, or less complete than intended?</w:t>
      </w:r>
    </w:p>
    <w:p>
      <w:pPr>
        <w:spacing w:after="120"/>
      </w:pPr>
      <w:r>
        <w:t xml:space="preserve">This dimension is the most direct test of vulnerability. It does not require the narrative to dwell on failure, but it does require that the narrative not present a uniformly positive picture. Readers who have worked in development know that projects face delays, political headwinds, capacity shortfalls, and design revisions. A narrative that mentions none of these is not believable.</w:t>
      </w:r>
    </w:p>
    <w:p>
      <w:pPr>
        <w:spacing w:after="120"/>
      </w:pPr>
      <w:r>
        <w:t xml:space="preserve">Score 3 — Strong: At least one country example describes a meaningful obstacle — a delay, a design adjustment, a reform that stalled, or a result that remains partial. The obstacle is described specifically (what happened, when, why) and is connected to a lesson or an ongoing response. The framing is candid but constructive: the obstacle is presented as something the WBG engaged with, not something it is defending itself against.</w:t>
      </w:r>
    </w:p>
    <w:p>
      <w:pPr>
        <w:spacing w:after="120"/>
      </w:pPr>
      <w:r>
        <w:t xml:space="preserve">Score 2 — Adequate: An obstacle is acknowledged but is described briefly and vaguely ("implementation faced challenges," "progress was slower than anticipated"). The reader understands that things were not perfectly smooth but cannot extract a specific lesson or actionable insight from the description.</w:t>
      </w:r>
    </w:p>
    <w:p>
      <w:pPr>
        <w:spacing w:after="120"/>
      </w:pPr>
      <w:r>
        <w:t xml:space="preserve">Score 1 — Weak: All country examples present successful outcomes. There are no delays, design revisions, partial results, or unresolved challenges. The narrative reads as a portfolio of wins with no texture. Even where results are genuinely positive, the complete absence of difficulty is implausible and erodes trust.</w:t>
      </w:r>
    </w:p>
    <w:p>
      <w:pPr>
        <w:spacing w:after="120"/>
      </w:pPr>
      <w:r>
        <w:t xml:space="preserve">Guardrails — what vulnerability looks like without reputational risk:</w:t>
      </w:r>
    </w:p>
    <w:p>
      <w:pPr>
        <w:spacing w:after="120"/>
      </w:pPr>
      <w:r>
        <w:t xml:space="preserve">The following framing approaches allow honest acknowledgment of difficulty without embarrassing the client or exposing the WBG to reputational risk:</w:t>
      </w:r>
    </w:p>
    <w:p>
      <w:pPr>
        <w:pStyle w:val="ListParagraph"/>
        <w:numPr>
          <w:ilvl w:val="0"/>
          <w:numId w:val="1"/>
        </w:numPr>
        <w:spacing w:after="60"/>
      </w:pPr>
      <w:r>
        <w:t xml:space="preserve">Systemic framing: Attribute obstacles to structural conditions rather than to specific actors. "Political economy constraints slowed the passage of the enabling legislation" is honest without being accusatory.</w:t>
      </w:r>
    </w:p>
    <w:p>
      <w:pPr>
        <w:pStyle w:val="ListParagraph"/>
        <w:numPr>
          <w:ilvl w:val="0"/>
          <w:numId w:val="1"/>
        </w:numPr>
        <w:spacing w:after="60"/>
      </w:pPr>
      <w:r>
        <w:t xml:space="preserve">Shared ownership of difficulty: Frame challenges as joint problems the WBG and the client worked through together, not as client failures. "Adapting the design to local procurement systems required a longer preparation period than initially planned" acknowledges delay without blame.</w:t>
      </w:r>
    </w:p>
    <w:p>
      <w:pPr>
        <w:pStyle w:val="ListParagraph"/>
        <w:numPr>
          <w:ilvl w:val="0"/>
          <w:numId w:val="1"/>
        </w:numPr>
        <w:spacing w:after="60"/>
      </w:pPr>
      <w:r>
        <w:t xml:space="preserve">WBG self-reflection: Where the WBG's own approach needed adjustment, say so. "An early focus on national-level institutions proved insufficient; the team subsequently added subnational components" shows learning without attributing failure externally.</w:t>
      </w:r>
    </w:p>
    <w:p>
      <w:pPr>
        <w:pStyle w:val="ListParagraph"/>
        <w:numPr>
          <w:ilvl w:val="0"/>
          <w:numId w:val="1"/>
        </w:numPr>
        <w:spacing w:after="60"/>
      </w:pPr>
      <w:r>
        <w:t xml:space="preserve">Prospective framing: Where a result is incomplete, frame it as ongoing work. "The regulatory framework was enacted in [year]; implementation support continues through [project name]" is honest and forward-looking.</w:t>
      </w:r>
    </w:p>
    <w:p>
      <w:pPr>
        <w:spacing w:after="120"/>
      </w:pPr>
      <w:r>
        <w:t xml:space="preserve">What to avoid: Naming specific officials, ministerial decisions, or government actions as the cause of delays or failure. Describing corruption, political interference, or governance failure in specific terms that could embarrass the client government. Any language that could be interpreted as the WBG distancing itself from a client country.</w:t>
      </w:r>
    </w:p>
    <w:p>
      <w:pPr>
        <w:pBdr>
          <w:bottom w:val="single" w:color="CCCCCC" w:sz="6"/>
        </w:pBdr>
        <w:spacing w:before="120" w:after="120"/>
      </w:pPr>
    </w:p>
    <w:p>
      <w:pPr>
        <w:pStyle w:val="Heading3"/>
        <w:spacing w:before="240" w:after="120"/>
      </w:pPr>
      <w:r>
        <w:t xml:space="preserve">Dimension 4 — Specificity of Evidence</w:t>
      </w:r>
    </w:p>
    <w:p>
      <w:pPr>
        <w:spacing w:after="120"/>
      </w:pPr>
      <w:r>
        <w:t xml:space="preserve">Are the claims in the narrative grounded in specific, traceable evidence?</w:t>
      </w:r>
    </w:p>
    <w:p>
      <w:pPr>
        <w:spacing w:after="120"/>
      </w:pPr>
      <w:r>
        <w:t xml:space="preserve">Authenticity is not only about acknowledging difficulty — it is also about the quality of the evidence behind positive claims. A narrative that makes strong claims without traceable evidence is not credible, even if the claims are accurate. This dimension assesses whether the narrative gives a sophisticated reader enough to verify or probe the conclusions.</w:t>
      </w:r>
    </w:p>
    <w:p>
      <w:pPr>
        <w:spacing w:after="120"/>
      </w:pPr>
      <w:r>
        <w:t xml:space="preserve">Score 3 — Strong: All quantitative claims cite a specific source document (ISR, ICR, IEG evaluation). The basis for non-quantitative claims — policy changes, institutional strengthening, market creation — is described in terms that a reader could verify (what law was passed, what institution was created, what market now functions). Where data is not available, the narrative says so and explains what evidence exists instead.</w:t>
      </w:r>
    </w:p>
    <w:p>
      <w:pPr>
        <w:spacing w:after="120"/>
      </w:pPr>
      <w:r>
        <w:t xml:space="preserve">Score 2 — Adequate: Most quantitative claims are sourced. Some non-quantitative claims are supported by specific descriptions. A few statements rely on general assertions that a careful reader might question but that do not appear fabricated.</w:t>
      </w:r>
    </w:p>
    <w:p>
      <w:pPr>
        <w:spacing w:after="120"/>
      </w:pPr>
      <w:r>
        <w:t xml:space="preserve">Score 1 — Weak: Claims are asserted without citation or specific grounding. Numbers appear without sources. Qualitative claims use vague language ("improved," "strengthened," "increased") without defining what improvement means or how it was measured. The narrative cannot be verified and does not invite verification.</w:t>
      </w:r>
    </w:p>
    <w:p>
      <w:pPr>
        <w:spacing w:after="120"/>
      </w:pPr>
      <w:r>
        <w:t xml:space="preserve">What to avoid: Using figures from outside the uploaded source documents. Presenting projections or targets as achieved results. Citing self-assessments from project documents without noting their source.</w:t>
      </w:r>
    </w:p>
    <w:p>
      <w:pPr>
        <w:pBdr>
          <w:bottom w:val="single" w:color="CCCCCC" w:sz="6"/>
        </w:pBdr>
        <w:spacing w:before="120" w:after="120"/>
      </w:pPr>
    </w:p>
    <w:p>
      <w:pPr>
        <w:pStyle w:val="Heading3"/>
        <w:spacing w:before="240" w:after="120"/>
      </w:pPr>
      <w:r>
        <w:t xml:space="preserve">Dimension 5 — Quality and Utility of Lessons Learned</w:t>
      </w:r>
    </w:p>
    <w:p>
      <w:pPr>
        <w:spacing w:after="120"/>
      </w:pPr>
      <w:r>
        <w:t xml:space="preserve">Do the lessons reflect genuine learning — including from difficulty — rather than restatements of design intent?</w:t>
      </w:r>
    </w:p>
    <w:p>
      <w:pPr>
        <w:spacing w:after="120"/>
      </w:pPr>
      <w:r>
        <w:t xml:space="preserve">Lessons learned are the section of the narrative where authenticity is most legible. Lessons that describe what the WBG always intended to do, or that restate best practices without grounding them in what actually happened, signal that the narrative is being used for validation rather than learning. Credible lessons emerge from the specific experience of the portfolio — including what went wrong, what was surprising, and what the WBG would do differently.</w:t>
      </w:r>
    </w:p>
    <w:p>
      <w:pPr>
        <w:spacing w:after="120"/>
      </w:pPr>
      <w:r>
        <w:t xml:space="preserve">Score 3 — Strong: At least one lesson is drawn from an experience of difficulty, adjustment, or partial success. Lessons name specific countries, name specific evidence sources (ISRs/ICRs), and are specific enough to be actionable in a future engagement. At least one lesson acknowledges something the WBG does not yet know or is still learning.</w:t>
      </w:r>
    </w:p>
    <w:p>
      <w:pPr>
        <w:spacing w:after="120"/>
      </w:pPr>
      <w:r>
        <w:t xml:space="preserve">Score 2 — Adequate: Lessons are plausible and grounded in the portfolio, but they are framed as confirmations of what was expected rather than as genuine discoveries. They are specific enough to be credible but not specific enough to be actionable.</w:t>
      </w:r>
    </w:p>
    <w:p>
      <w:pPr>
        <w:spacing w:after="120"/>
      </w:pPr>
      <w:r>
        <w:t xml:space="preserve">Score 1 — Weak: Lessons read as generic best practices applicable to any development intervention ("country ownership matters," "early stakeholder engagement is essential," "flexibility is key"). There is no evidence that these lessons were drawn from the specific experience of the portfolio, and no acknowledgment of what was difficult or surprising.</w:t>
      </w:r>
    </w:p>
    <w:p>
      <w:pPr>
        <w:pBdr>
          <w:bottom w:val="single" w:color="CCCCCC" w:sz="6"/>
        </w:pBdr>
        <w:spacing w:before="120" w:after="120"/>
      </w:pPr>
    </w:p>
    <w:p>
      <w:pPr>
        <w:pStyle w:val="Heading2"/>
        <w:spacing w:before="240" w:after="120"/>
      </w:pPr>
      <w:r>
        <w:t xml:space="preserve">Scoring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Dimension</w:t>
            </w:r>
          </w:p>
        </w:tc>
        <w:tc>
          <w:tcPr>
            <w:tcW w:type="pct" w:w="50%"/>
          </w:tcPr>
          <w:p>
            <w:r>
              <w:rPr>
                <w:b/>
                <w:bCs/>
              </w:rPr>
              <w:t xml:space="preserve">Score (1–3)</w:t>
            </w:r>
          </w:p>
        </w:tc>
      </w:tr>
      <w:tr>
        <w:tc>
          <w:tcPr>
            <w:tcW w:type="pct" w:w="50%"/>
          </w:tcPr>
          <w:p>
            <w:r>
              <w:rPr>
                <w:b w:val="false"/>
                <w:bCs w:val="false"/>
              </w:rPr>
              <w:t xml:space="preserve">1. Honest Characterization of the Challenge</w:t>
            </w:r>
          </w:p>
        </w:tc>
        <w:tc>
          <w:tcPr>
            <w:tcW w:type="pct" w:w="50%"/>
          </w:tcPr>
          <w:p>
            <w:r>
              <w:rPr>
                <w:b w:val="false"/>
                <w:bCs w:val="false"/>
              </w:rPr>
              <w:t xml:space="preserve"/>
            </w:r>
          </w:p>
        </w:tc>
      </w:tr>
      <w:tr>
        <w:tc>
          <w:tcPr>
            <w:tcW w:type="pct" w:w="50%"/>
          </w:tcPr>
          <w:p>
            <w:r>
              <w:rPr>
                <w:b w:val="false"/>
                <w:bCs w:val="false"/>
              </w:rPr>
              <w:t xml:space="preserve">2. Causal Humility</w:t>
            </w:r>
          </w:p>
        </w:tc>
        <w:tc>
          <w:tcPr>
            <w:tcW w:type="pct" w:w="50%"/>
          </w:tcPr>
          <w:p>
            <w:r>
              <w:rPr>
                <w:b w:val="false"/>
                <w:bCs w:val="false"/>
              </w:rPr>
              <w:t xml:space="preserve"/>
            </w:r>
          </w:p>
        </w:tc>
      </w:tr>
      <w:tr>
        <w:tc>
          <w:tcPr>
            <w:tcW w:type="pct" w:w="50%"/>
          </w:tcPr>
          <w:p>
            <w:r>
              <w:rPr>
                <w:b w:val="false"/>
                <w:bCs w:val="false"/>
              </w:rPr>
              <w:t xml:space="preserve">3. Acknowledgment of Obstacles and Incomplete Results</w:t>
            </w:r>
          </w:p>
        </w:tc>
        <w:tc>
          <w:tcPr>
            <w:tcW w:type="pct" w:w="50%"/>
          </w:tcPr>
          <w:p>
            <w:r>
              <w:rPr>
                <w:b w:val="false"/>
                <w:bCs w:val="false"/>
              </w:rPr>
              <w:t xml:space="preserve"/>
            </w:r>
          </w:p>
        </w:tc>
      </w:tr>
      <w:tr>
        <w:tc>
          <w:tcPr>
            <w:tcW w:type="pct" w:w="50%"/>
          </w:tcPr>
          <w:p>
            <w:r>
              <w:rPr>
                <w:b w:val="false"/>
                <w:bCs w:val="false"/>
              </w:rPr>
              <w:t xml:space="preserve">4. Specificity of Evidence</w:t>
            </w:r>
          </w:p>
        </w:tc>
        <w:tc>
          <w:tcPr>
            <w:tcW w:type="pct" w:w="50%"/>
          </w:tcPr>
          <w:p>
            <w:r>
              <w:rPr>
                <w:b w:val="false"/>
                <w:bCs w:val="false"/>
              </w:rPr>
              <w:t xml:space="preserve"/>
            </w:r>
          </w:p>
        </w:tc>
      </w:tr>
      <w:tr>
        <w:tc>
          <w:tcPr>
            <w:tcW w:type="pct" w:w="50%"/>
          </w:tcPr>
          <w:p>
            <w:r>
              <w:rPr>
                <w:b w:val="false"/>
                <w:bCs w:val="false"/>
              </w:rPr>
              <w:t xml:space="preserve">5. Quality and Utility of Lessons Learned</w:t>
            </w:r>
          </w:p>
        </w:tc>
        <w:tc>
          <w:tcPr>
            <w:tcW w:type="pct" w:w="50%"/>
          </w:tcPr>
          <w:p>
            <w:r>
              <w:rPr>
                <w:b w:val="false"/>
                <w:bCs w:val="false"/>
              </w:rPr>
              <w:t xml:space="preserve"/>
            </w:r>
          </w:p>
        </w:tc>
      </w:tr>
      <w:tr>
        <w:tc>
          <w:tcPr>
            <w:tcW w:type="pct" w:w="50%"/>
          </w:tcPr>
          <w:p>
            <w:r>
              <w:rPr>
                <w:b w:val="false"/>
                <w:bCs w:val="false"/>
              </w:rPr>
              <w:t xml:space="preserve">Total</w:t>
            </w:r>
          </w:p>
        </w:tc>
        <w:tc>
          <w:tcPr>
            <w:tcW w:type="pct" w:w="50%"/>
          </w:tcPr>
          <w:p>
            <w:r>
              <w:rPr>
                <w:b w:val="false"/>
                <w:bCs w:val="false"/>
              </w:rPr>
              <w:t xml:space="preserve">/15</w:t>
            </w:r>
          </w:p>
        </w:tc>
      </w:tr>
    </w:tbl>
    <w:p>
      <w:pPr>
        <w:spacing w:after="120"/>
      </w:pPr>
      <w:r>
        <w:t xml:space="preserve">13–15: Highly credible. The narrative earns reader trust through specificity, honesty, and analytical rigor.</w:t>
      </w:r>
    </w:p>
    <w:p>
      <w:pPr>
        <w:spacing w:after="120"/>
      </w:pPr>
      <w:r>
        <w:t xml:space="preserve">10–12: Adequate but improvable. The narrative is not promotional but lacks the texture and candor that would make it genuinely persuasive to a skeptical reader. Revise to address dimensions scoring 1 or 2.</w:t>
      </w:r>
    </w:p>
    <w:p>
      <w:pPr>
        <w:spacing w:after="120"/>
      </w:pPr>
      <w:r>
        <w:t xml:space="preserve">Below 10: The narrative reads as promotional or insufficiently grounded. It is unlikely to build reader trust and should be substantially revised before publication.</w:t>
      </w:r>
    </w:p>
    <w:p>
      <w:pPr>
        <w:pBdr>
          <w:bottom w:val="single" w:color="CCCCCC" w:sz="6"/>
        </w:pBdr>
        <w:spacing w:before="120" w:after="120"/>
      </w:pPr>
    </w:p>
    <w:p>
      <w:pPr>
        <w:pStyle w:val="Heading2"/>
        <w:spacing w:before="240" w:after="120"/>
      </w:pPr>
      <w:r>
        <w:t xml:space="preserve">A Note on the Authenticity–Risk Boundary</w:t>
      </w:r>
    </w:p>
    <w:p>
      <w:pPr>
        <w:spacing w:after="120"/>
      </w:pPr>
      <w:r>
        <w:t xml:space="preserve">The purpose of this rubric is not to require disclosure that harms clients or exposes the WBG to reputational risk. Authenticity and protection are not opposites. The test for every vulnerable statement is:</w:t>
      </w:r>
    </w:p>
    <w:p>
      <w:pPr>
        <w:pBdr>
          <w:left w:val="single" w:color="CCCCCC" w:sz="12"/>
        </w:pBdr>
        <w:spacing w:before="120" w:after="120"/>
        <w:ind w:left="720"/>
      </w:pPr>
      <w:r>
        <w:rPr>
          <w:i/>
          <w:iCs/>
        </w:rPr>
        <w:t xml:space="preserve">Is this framed as something the WBG and the client worked through together, or as something done to the client or blamed on the client?</w:t>
      </w:r>
    </w:p>
    <w:p>
      <w:pPr>
        <w:spacing w:after="120"/>
      </w:pPr>
      <w:r>
        <w:t xml:space="preserve">Vulnerability that builds trust takes the form of institutional self-reflection, acknowledgment of complexity, and honest description of what is still unfinished. It does not take the form of attributing failure to governments, naming individuals, or describing governance failures in terms that a client government would find embarrassing or accusatory.</w:t>
      </w:r>
    </w:p>
    <w:p>
      <w:pPr>
        <w:spacing w:after="120"/>
      </w:pPr>
      <w:r>
        <w:t xml:space="preserve">When in doubt, the following question resolves most ambiguity: Would a senior official in the client government, reading this narrative, feel that the WBG treated their country with respect? If the answer is yes, the statement is almost certainly safe to include.</w:t>
      </w:r>
    </w:p>
    <w:p>
      <w:pPr>
        <w:pBdr>
          <w:bottom w:val="single" w:color="CCCCCC" w:sz="6"/>
        </w:pBdr>
        <w:spacing w:before="120" w:after="120"/>
      </w:pPr>
    </w:p>
    <w:p>
      <w:pPr>
        <w:spacing w:after="120"/>
      </w:pPr>
      <w:r>
        <w:t xml:space="preserve">This document was generated by mAI.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4216DDB495E8439DFB8FB8A27B737A" ma:contentTypeVersion="3" ma:contentTypeDescription="Create a new document." ma:contentTypeScope="" ma:versionID="3ff90679d7dcd0dedebc809181d5111f">
  <xsd:schema xmlns:xsd="http://www.w3.org/2001/XMLSchema" xmlns:xs="http://www.w3.org/2001/XMLSchema" xmlns:p="http://schemas.microsoft.com/office/2006/metadata/properties" xmlns:ns2="7bd32e50-6705-4def-b2b3-99b6f41bf208" targetNamespace="http://schemas.microsoft.com/office/2006/metadata/properties" ma:root="true" ma:fieldsID="e75def0baec22f1e518b0da2088cfc54" ns2:_="">
    <xsd:import namespace="7bd32e50-6705-4def-b2b3-99b6f41bf20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32e50-6705-4def-b2b3-99b6f41bf2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B44A2B-9A43-4823-9B16-5776395C9B00}"/>
</file>

<file path=customXml/itemProps2.xml><?xml version="1.0" encoding="utf-8"?>
<ds:datastoreItem xmlns:ds="http://schemas.openxmlformats.org/officeDocument/2006/customXml" ds:itemID="{26E31A03-6935-4AA9-80BE-B60D187A692C}"/>
</file>

<file path=customXml/itemProps3.xml><?xml version="1.0" encoding="utf-8"?>
<ds:datastoreItem xmlns:ds="http://schemas.openxmlformats.org/officeDocument/2006/customXml" ds:itemID="{7BBEB671-406C-4A53-AD71-723CC5460B6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2026-06-08T20:12:04Z</dcterms:created>
  <dcterms:modified xsi:type="dcterms:W3CDTF">2026-06-08T20:12:04Z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0x010100F64216DDB495E8439DFB8FB8A27B737A</vt:lpwstr>
  </property>
</Properties>
</file>