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8391"/>
      </w:tblGrid>
      <w:tr>
        <w:tc>
          <w:tcPr>
            <w:tcW w:type="dxa" w:w="1134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30"/>
              </w:rPr>
              <w:t>PT ARUNIKA DATA NUSANTARA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Gedung Arunika Lt. 7, Jl. Contoh Raya No. 17, Jakarta Selatan 12950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Telp (021) 555-0170  ·  sekretariat@arunika.example  ·  www.arunika.example</w:t>
            </w:r>
          </w:p>
        </w:tc>
      </w:tr>
    </w:tbl>
    <w:p>
      <w:pPr>
        <w:spacing w:before="0" w:after="160" w:line="144" w:lineRule="auto"/>
        <w:pBdr>
          <w:bottom w:val="single" w:sz="18" w:space="4" w:color="B46A0C"/>
        </w:pBdr>
      </w:pPr>
    </w:p>
    <w:p>
      <w:pPr>
        <w:spacing w:before="0" w:after="0" w:line="264" w:lineRule="auto"/>
        <w:jc w:val="center"/>
      </w:pPr>
      <w:r>
        <w:rPr>
          <w:rFonts w:ascii="Calibri" w:hAnsi="Calibri"/>
          <w:b/>
          <w:i w:val="0"/>
          <w:color w:val="1F2937"/>
          <w:sz w:val="27"/>
        </w:rPr>
        <w:t>LAPORAN INSIDEN LAYANAN TI</w:t>
      </w:r>
    </w:p>
    <w:p>
      <w:pPr>
        <w:spacing w:before="0" w:after="200" w:line="264" w:lineRule="auto"/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 xml:space="preserve">Nomor: INS/TI/2026/10/0004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nil"/>
          <w:insideV w:val="nil"/>
        </w:tblBorders>
      </w:tblPr>
      <w:tblGrid>
        <w:gridCol w:w="1474"/>
        <w:gridCol w:w="8051"/>
      </w:tblGrid>
      <w:tr>
        <w:tc>
          <w:tcPr>
            <w:shd w:val="clear" w:color="auto" w:fill="D97706"/>
            <w:tcW w:type="dxa" w:w="147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P2</w:t>
            </w:r>
          </w:p>
        </w:tc>
        <w:tc>
          <w:tcPr>
            <w:tcW w:type="dxa" w:w="8050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2"/>
              </w:rPr>
              <w:t xml:space="preserve">P2 · Tinggi — target pemulihan 4 jam</w:t>
            </w:r>
          </w:p>
          <w:p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 xml:space="preserve">Dampak Sedang × urgensi Tinggi  ·  status: Pulih</w:t>
            </w:r>
          </w:p>
        </w:tc>
      </w:tr>
    </w:tbl>
    <w:p>
      <w:pPr>
        <w:spacing w:before="0" w:after="12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94"/>
        <w:gridCol w:w="226"/>
        <w:gridCol w:w="7030"/>
      </w:tblGrid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Judul insiden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Latensi asisten LLM internal naik 3 kali lipat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Layanan terdampak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Asisten back-office (server LLM Qwen3.5-4B, GPU T4)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Mulai terjadi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9 Oktober 2026 08:40 WIB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Terdeteksi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9 Oktober 2026 09:05 WIB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Pulih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9 Oktober 2026 10:20 WIB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Durasi gangguan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1 jam 40 menit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Pelapor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Bayu Saputra</w:t>
            </w:r>
          </w:p>
        </w:tc>
      </w:tr>
    </w:tbl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RINGKASAN</w:t>
      </w:r>
    </w:p>
    <w:p>
      <w:pPr>
        <w:spacing w:before="0" w:after="80" w:line="264" w:lineRule="auto"/>
        <w:jc w:val="both"/>
      </w:pPr>
      <w:r>
        <w:rPr>
          <w:rFonts w:ascii="Calibri" w:hAnsi="Calibri"/>
          <w:b w:val="0"/>
          <w:i w:val="0"/>
        </w:rPr>
        <w:t xml:space="preserve">Waktu jawab asisten naik dari sekitar 10 detik menjadi 30–60 detik. Penyebabnya GPU server di-throttle oleh batas daya sehingga clock turun ke sekitar 400 MHz. Layanan pulih setelah dipindah ke host GPU lain.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DAMPAK TERHADAP PENGGUNA</w:t>
      </w:r>
    </w:p>
    <w:p>
      <w:pPr>
        <w:spacing w:before="0" w:after="80" w:line="264" w:lineRule="auto"/>
        <w:jc w:val="both"/>
      </w:pPr>
      <w:r>
        <w:rPr>
          <w:rFonts w:ascii="Calibri" w:hAnsi="Calibri"/>
          <w:b w:val="0"/>
          <w:i w:val="0"/>
        </w:rPr>
        <w:t xml:space="preserve">Sekitar 60 pengguna unit pengadaan dan sekretariat menunggu 30–60 detik per jawaban; tidak ada data yang hilang.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LINIMASA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1927"/>
        <w:gridCol w:w="7597"/>
      </w:tblGrid>
      <w:tr>
        <w:trPr>
          <w:tblHeader w:val="true"/>
        </w:trP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759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Kejadian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08:40 WIB</w:t>
            </w:r>
          </w:p>
        </w:tc>
        <w:tc>
          <w:tcPr>
            <w:tcW w:type="dxa" w:w="759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Latensi p50 mulai naik di dasbor.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09:05 WIB</w:t>
            </w:r>
          </w:p>
        </w:tc>
        <w:tc>
          <w:tcPr>
            <w:tcW w:type="dxa" w:w="759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Keluhan pertama dari unit pengadaan; insiden dibuka.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09:30 WIB</w:t>
            </w:r>
          </w:p>
        </w:tc>
        <w:tc>
          <w:tcPr>
            <w:tcW w:type="dxa" w:w="759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nvidia-smi menunjukkan clock SM 360–435 MHz, alasan throttle SW power cap.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10:20 WIB</w:t>
            </w:r>
          </w:p>
        </w:tc>
        <w:tc>
          <w:tcPr>
            <w:tcW w:type="dxa" w:w="759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Layanan dipindah ke host GPU baru; latensi kembali normal.</w:t>
            </w:r>
          </w:p>
        </w:tc>
      </w:tr>
    </w:tbl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AKAR MASALAH</w:t>
      </w:r>
    </w:p>
    <w:p>
      <w:pPr>
        <w:spacing w:before="0" w:after="80" w:line="264" w:lineRule="auto"/>
        <w:jc w:val="both"/>
      </w:pPr>
      <w:r>
        <w:rPr>
          <w:rFonts w:ascii="Calibri" w:hAnsi="Calibri"/>
          <w:b w:val="0"/>
          <w:i w:val="0"/>
        </w:rPr>
        <w:t xml:space="preserve">Host GPU membatasi daya kartu di 70 W pada suhu 76 °C sehingga clock turun ke sekitar 25% dari maksimum. Tidak ada perubahan kode atau konfigurasi.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TINDAKAN PEMULIHAN</w:t>
      </w:r>
    </w:p>
    <w:p>
      <w:pPr>
        <w:spacing w:before="0" w:after="80" w:line="264" w:lineRule="auto"/>
        <w:jc w:val="both"/>
      </w:pPr>
      <w:r>
        <w:rPr>
          <w:rFonts w:ascii="Calibri" w:hAnsi="Calibri"/>
          <w:b w:val="0"/>
          <w:i w:val="0"/>
        </w:rPr>
        <w:t xml:space="preserve">Server LLM dipindah ke host GPU lain dan cache model dihangatkan ulang; latensi diverifikasi kembali ke sekitar 10 detik.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TINDAK LANJUT PENCEGAHAN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53"/>
        <w:gridCol w:w="5329"/>
        <w:gridCol w:w="1927"/>
        <w:gridCol w:w="1814"/>
      </w:tblGrid>
      <w:tr>
        <w:trPr>
          <w:tblHeader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532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Tugas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Tenggat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1</w:t>
            </w:r>
          </w:p>
        </w:tc>
        <w:tc>
          <w:tcPr>
            <w:tcW w:type="dxa" w:w="532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Tambahkan alarm clock SM dan alasan throttle GPU ke dasbor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Dimas Prasetyo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16 Oktober 2026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2</w:t>
            </w:r>
          </w:p>
        </w:tc>
        <w:tc>
          <w:tcPr>
            <w:tcW w:type="dxa" w:w="532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Tulis runbook pindah host GPU</w:t>
            </w:r>
          </w:p>
        </w:tc>
        <w:tc>
          <w:tcPr>
            <w:tcW w:type="dxa" w:w="1928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Rina Kartika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20 Oktober 2026</w:t>
            </w:r>
          </w:p>
        </w:tc>
      </w:tr>
    </w:tbl>
    <w:p>
      <w:pPr>
        <w:keepNext/>
        <w:spacing w:before="0" w:after="8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4762"/>
      </w:tblGrid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Jakarta, 9 Oktober 2026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Pelapor,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Mengetahui,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Kepala Divisi Teknologi Informasi</w:t>
            </w:r>
          </w:p>
        </w:tc>
      </w:tr>
      <w:tr>
        <w:trPr>
          <w:trHeight w:val="1020" w:hRule="atLeast"/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 xml:space="preserve">Bayu Saputra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/>
        <w:color w:val="6B7280"/>
        <w:sz w:val="15"/>
      </w:rPr>
      <w:t>Dokumen latihan Senior AI Engineering Series. PT Arunika Data Nusantara adalah perusahaan fiktif; seluruh nama, nomor, dan angka bersifat ilustratif.</w:t>
    </w:r>
  </w:p>
  <w:p>
    <w:pPr>
      <w:jc w:val="right"/>
    </w:pPr>
    <w:r>
      <w:rPr>
        <w:rFonts w:ascii="Calibri" w:hAnsi="Calibri"/>
        <w:b w:val="0"/>
        <w:i w:val="0"/>
        <w:color w:val="6B7280"/>
        <w:sz w:val="16"/>
      </w:rPr>
      <w:t xml:space="preserve">Halaman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B7280"/>
        <w:sz w:val="16"/>
      </w:rPr>
      <w:t xml:space="preserve"> dari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