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bookmarkEnd w:id="0"/>
    </w:p>
    <w:p>
      <w:pPr>
        <w:jc w:val="center"/>
        <w:rPr>
          <w:rFonts w:hint="eastAsia"/>
          <w:highlight w:val="none"/>
          <w:lang w:val="en-US" w:eastAsia="zh-CN"/>
        </w:rPr>
      </w:pPr>
      <w:r>
        <w:rPr>
          <w:rFonts w:hint="eastAsia"/>
          <w:highlight w:val="none"/>
          <w:lang w:val="en-US" w:eastAsia="zh-CN"/>
        </w:rPr>
        <w:t>表1.1  盛剑环境净资产收益率计算相关指标</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p>
        </w:tc>
        <w:tc>
          <w:tcPr>
            <w:tcW w:w="2841" w:type="dxa"/>
          </w:tcPr>
          <w:p>
            <w:pPr>
              <w:rPr>
                <w:rFonts w:hint="default"/>
                <w:vertAlign w:val="baseline"/>
                <w:lang w:val="en-US" w:eastAsia="zh-CN"/>
              </w:rPr>
            </w:pPr>
            <w:r>
              <w:rPr>
                <w:rFonts w:hint="eastAsia"/>
                <w:vertAlign w:val="baseline"/>
                <w:lang w:val="en-US" w:eastAsia="zh-CN"/>
              </w:rPr>
              <w:t>2021年</w:t>
            </w:r>
          </w:p>
        </w:tc>
        <w:tc>
          <w:tcPr>
            <w:tcW w:w="2841" w:type="dxa"/>
          </w:tcPr>
          <w:p>
            <w:pPr>
              <w:rPr>
                <w:rFonts w:hint="default"/>
                <w:vertAlign w:val="baseline"/>
                <w:lang w:val="en-US" w:eastAsia="zh-CN"/>
              </w:rPr>
            </w:pPr>
            <w:r>
              <w:rPr>
                <w:rFonts w:hint="eastAsia"/>
                <w:vertAlign w:val="baseline"/>
                <w:lang w:val="en-US" w:eastAsia="zh-CN"/>
              </w:rPr>
              <w:t>2020年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净资产收益率</w:t>
            </w:r>
          </w:p>
        </w:tc>
        <w:tc>
          <w:tcPr>
            <w:tcW w:w="2841" w:type="dxa"/>
          </w:tcPr>
          <w:p>
            <w:pPr>
              <w:rPr>
                <w:rFonts w:hint="default"/>
                <w:vertAlign w:val="baseline"/>
                <w:lang w:val="en-US" w:eastAsia="zh-CN"/>
              </w:rPr>
            </w:pPr>
            <w:r>
              <w:rPr>
                <w:rFonts w:hint="eastAsia"/>
                <w:vertAlign w:val="baseline"/>
                <w:lang w:val="en-US" w:eastAsia="zh-CN"/>
              </w:rPr>
              <w:t>12.93%</w:t>
            </w:r>
          </w:p>
        </w:tc>
        <w:tc>
          <w:tcPr>
            <w:tcW w:w="2841" w:type="dxa"/>
          </w:tcPr>
          <w:p>
            <w:pPr>
              <w:rPr>
                <w:rFonts w:hint="default"/>
                <w:vertAlign w:val="baseline"/>
                <w:lang w:val="en-US" w:eastAsia="zh-CN"/>
              </w:rPr>
            </w:pPr>
            <w:r>
              <w:rPr>
                <w:rFonts w:hint="eastAsia"/>
                <w:vertAlign w:val="baseline"/>
                <w:lang w:val="en-US" w:eastAsia="zh-CN"/>
              </w:rPr>
              <w:t>18.94%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销售净利率</w:t>
            </w:r>
          </w:p>
        </w:tc>
        <w:tc>
          <w:tcPr>
            <w:tcW w:w="2841" w:type="dxa"/>
          </w:tcPr>
          <w:p>
            <w:pPr>
              <w:rPr>
                <w:rFonts w:hint="default"/>
                <w:vertAlign w:val="baseline"/>
                <w:lang w:val="en-US" w:eastAsia="zh-CN"/>
              </w:rPr>
            </w:pPr>
            <w:r>
              <w:rPr>
                <w:rFonts w:hint="eastAsia"/>
                <w:vertAlign w:val="baseline"/>
                <w:lang w:val="en-US" w:eastAsia="zh-CN"/>
              </w:rPr>
              <w:t>12.36%</w:t>
            </w:r>
          </w:p>
        </w:tc>
        <w:tc>
          <w:tcPr>
            <w:tcW w:w="2841" w:type="dxa"/>
          </w:tcPr>
          <w:p>
            <w:pPr>
              <w:rPr>
                <w:rFonts w:hint="default"/>
                <w:vertAlign w:val="baseline"/>
                <w:lang w:val="en-US" w:eastAsia="zh-CN"/>
              </w:rPr>
            </w:pPr>
            <w:r>
              <w:rPr>
                <w:rFonts w:hint="eastAsia"/>
                <w:vertAlign w:val="baseline"/>
                <w:lang w:val="en-US" w:eastAsia="zh-CN"/>
              </w:rPr>
              <w:t>12.97%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总资产周转率</w:t>
            </w:r>
          </w:p>
        </w:tc>
        <w:tc>
          <w:tcPr>
            <w:tcW w:w="2841" w:type="dxa"/>
          </w:tcPr>
          <w:p>
            <w:pPr>
              <w:rPr>
                <w:rFonts w:hint="default"/>
                <w:vertAlign w:val="baseline"/>
                <w:lang w:val="en-US" w:eastAsia="zh-CN"/>
              </w:rPr>
            </w:pPr>
            <w:r>
              <w:rPr>
                <w:rFonts w:hint="eastAsia"/>
                <w:vertAlign w:val="baseline"/>
                <w:lang w:val="en-US" w:eastAsia="zh-CN"/>
              </w:rPr>
              <w:t>54.92%</w:t>
            </w:r>
          </w:p>
        </w:tc>
        <w:tc>
          <w:tcPr>
            <w:tcW w:w="2841" w:type="dxa"/>
          </w:tcPr>
          <w:p>
            <w:pPr>
              <w:rPr>
                <w:rFonts w:hint="default"/>
                <w:vertAlign w:val="baseline"/>
                <w:lang w:val="en-US" w:eastAsia="zh-CN"/>
              </w:rPr>
            </w:pPr>
            <w:r>
              <w:rPr>
                <w:rFonts w:hint="eastAsia"/>
                <w:vertAlign w:val="baseline"/>
                <w:lang w:val="en-US" w:eastAsia="zh-CN"/>
              </w:rPr>
              <w:t>70.30%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权益乘数</w:t>
            </w:r>
          </w:p>
        </w:tc>
        <w:tc>
          <w:tcPr>
            <w:tcW w:w="2841" w:type="dxa"/>
          </w:tcPr>
          <w:p>
            <w:pPr>
              <w:rPr>
                <w:rFonts w:hint="default"/>
                <w:vertAlign w:val="baseline"/>
                <w:lang w:val="en-US" w:eastAsia="zh-CN"/>
              </w:rPr>
            </w:pPr>
            <w:r>
              <w:rPr>
                <w:rFonts w:hint="eastAsia"/>
                <w:vertAlign w:val="baseline"/>
                <w:lang w:val="en-US" w:eastAsia="zh-CN"/>
              </w:rPr>
              <w:t>162.22%</w:t>
            </w:r>
          </w:p>
        </w:tc>
        <w:tc>
          <w:tcPr>
            <w:tcW w:w="2841" w:type="dxa"/>
          </w:tcPr>
          <w:p>
            <w:pPr>
              <w:rPr>
                <w:rFonts w:hint="default"/>
                <w:vertAlign w:val="baseline"/>
                <w:lang w:val="en-US" w:eastAsia="zh-CN"/>
              </w:rPr>
            </w:pPr>
            <w:r>
              <w:rPr>
                <w:rFonts w:hint="eastAsia"/>
                <w:vertAlign w:val="baseline"/>
                <w:lang w:val="en-US" w:eastAsia="zh-CN"/>
              </w:rPr>
              <w:t>189.77%</w:t>
            </w:r>
          </w:p>
        </w:tc>
      </w:tr>
    </w:tbl>
    <w:p>
      <w:pPr>
        <w:rPr>
          <w:rFonts w:hint="default"/>
          <w:lang w:val="en-US" w:eastAsia="zh-CN"/>
        </w:rPr>
      </w:pPr>
    </w:p>
    <w:p>
      <w:pPr>
        <w:numPr>
          <w:ilvl w:val="1"/>
          <w:numId w:val="0"/>
        </w:numPr>
        <w:ind w:left="0" w:leftChars="0" w:firstLine="0" w:firstLineChars="0"/>
        <w:rPr>
          <w:rFonts w:hint="eastAsia"/>
          <w:highlight w:val="none"/>
          <w:lang w:val="en-US" w:eastAsia="zh-CN"/>
        </w:rPr>
      </w:pPr>
      <w:r>
        <w:rPr>
          <w:rFonts w:hint="eastAsia" w:cstheme="minorBidi"/>
          <w:kern w:val="2"/>
          <w:sz w:val="21"/>
          <w:szCs w:val="24"/>
          <w:lang w:val="en-US" w:eastAsia="zh-CN" w:bidi="ar-SA"/>
        </w:rPr>
        <w:t>1、</w:t>
      </w:r>
      <w:r>
        <w:rPr>
          <w:rFonts w:hint="eastAsia"/>
          <w:highlight w:val="none"/>
          <w:lang w:val="en-US" w:eastAsia="zh-CN"/>
        </w:rPr>
        <w:t>净资产收益率</w:t>
      </w:r>
    </w:p>
    <w:p>
      <w:pPr>
        <w:numPr>
          <w:ilvl w:val="1"/>
          <w:numId w:val="0"/>
        </w:numPr>
        <w:ind w:left="0" w:leftChars="0" w:firstLine="420" w:firstLineChars="200"/>
        <w:rPr>
          <w:rFonts w:hint="eastAsia"/>
          <w:highlight w:val="none"/>
          <w:lang w:val="en-US" w:eastAsia="zh-CN"/>
        </w:rPr>
      </w:pPr>
      <w:r>
        <w:rPr>
          <w:rFonts w:hint="eastAsia"/>
          <w:highlight w:val="none"/>
          <w:lang w:val="en-US" w:eastAsia="zh-CN"/>
        </w:rPr>
        <w:t>净资产收益率反映企业的整体盈利情况，可以分解为销售净利率、总资产周转率和权益乘数三者的乘积，其能够将资产负债表和利润表的数据结合起来，综合反映企业的财务数据，具有很强的可比性和综合性。</w:t>
      </w:r>
    </w:p>
    <w:p>
      <w:pPr>
        <w:jc w:val="center"/>
        <w:rPr>
          <w:rFonts w:hint="eastAsia"/>
          <w:highlight w:val="none"/>
          <w:lang w:val="en-US" w:eastAsia="zh-CN"/>
        </w:rPr>
      </w:pPr>
      <w:r>
        <w:rPr>
          <w:rFonts w:hint="eastAsia"/>
          <w:highlight w:val="none"/>
          <w:lang w:val="en-US" w:eastAsia="zh-CN"/>
        </w:rPr>
        <w:t>净资产收益率=销售净利率×总资产周转率×权益乘数</w:t>
      </w:r>
    </w:p>
    <w:p>
      <w:pPr>
        <w:ind w:firstLine="420" w:firstLineChars="200"/>
        <w:rPr>
          <w:rFonts w:hint="default"/>
          <w:lang w:val="en-US" w:eastAsia="zh-CN"/>
        </w:rPr>
      </w:pPr>
      <w:r>
        <w:rPr>
          <w:rFonts w:hint="eastAsia"/>
          <w:lang w:val="en-US" w:eastAsia="zh-CN"/>
        </w:rPr>
        <w:t>根据表1.1，盛剑环境净资产收益率2021年较2020年降低6.01%，说明盛剑环境盈利能力出现较大幅度的降低。</w:t>
      </w:r>
    </w:p>
    <w:p>
      <w:pPr>
        <w:rPr>
          <w:rFonts w:hint="default"/>
          <w:lang w:val="en-US" w:eastAsia="zh-CN"/>
        </w:rPr>
      </w:pPr>
      <w:r>
        <w:rPr>
          <w:rFonts w:hint="eastAsia"/>
          <w:lang w:val="en-US" w:eastAsia="zh-CN"/>
        </w:rPr>
        <w:t>2、销售净利率</w:t>
      </w:r>
    </w:p>
    <w:p>
      <w:pPr>
        <w:jc w:val="center"/>
        <w:rPr>
          <w:rFonts w:hint="default"/>
          <w:lang w:val="en-US" w:eastAsia="zh-CN"/>
        </w:rPr>
      </w:pPr>
      <w:r>
        <w:rPr>
          <w:rFonts w:hint="eastAsia"/>
          <w:lang w:val="en-US" w:eastAsia="zh-CN"/>
        </w:rPr>
        <w:t>销售净利率=净利润/营业收入</w:t>
      </w:r>
    </w:p>
    <w:p>
      <w:pPr>
        <w:ind w:firstLine="420" w:firstLineChars="200"/>
        <w:rPr>
          <w:rFonts w:hint="default"/>
          <w:lang w:val="en-US" w:eastAsia="zh-CN"/>
        </w:rPr>
      </w:pPr>
      <w:r>
        <w:rPr>
          <w:rFonts w:hint="eastAsia"/>
          <w:lang w:val="en-US" w:eastAsia="zh-CN"/>
        </w:rPr>
        <w:t>销售净利率这一财务指标所反映出的是净利润与营业收入二者之间的关系，以及由此所反映出来的盈利能力。圣剑环境2021年较2020年销售净利率出现小幅度下降，但整体保持平稳。</w:t>
      </w:r>
    </w:p>
    <w:p>
      <w:pPr>
        <w:rPr>
          <w:rFonts w:hint="default"/>
          <w:lang w:val="en-US" w:eastAsia="zh-CN"/>
        </w:rPr>
      </w:pPr>
      <w:r>
        <w:rPr>
          <w:rFonts w:hint="eastAsia"/>
          <w:lang w:val="en-US" w:eastAsia="zh-CN"/>
        </w:rPr>
        <w:t>3、总资产周转率</w:t>
      </w:r>
    </w:p>
    <w:p>
      <w:pPr>
        <w:ind w:firstLine="420" w:firstLineChars="200"/>
        <w:jc w:val="center"/>
        <w:rPr>
          <w:rFonts w:hint="default"/>
          <w:lang w:val="en-US" w:eastAsia="zh-CN"/>
        </w:rPr>
      </w:pPr>
      <w:r>
        <w:rPr>
          <w:rFonts w:hint="eastAsia"/>
          <w:lang w:val="en-US" w:eastAsia="zh-CN"/>
        </w:rPr>
        <w:t>总资产周转率=营业收入/资产总额</w:t>
      </w:r>
    </w:p>
    <w:p>
      <w:pPr>
        <w:ind w:firstLine="420" w:firstLineChars="200"/>
        <w:rPr>
          <w:rFonts w:hint="default"/>
          <w:lang w:val="en-US" w:eastAsia="zh-CN"/>
        </w:rPr>
      </w:pPr>
      <w:r>
        <w:rPr>
          <w:rFonts w:hint="eastAsia"/>
          <w:lang w:val="en-US" w:eastAsia="zh-CN"/>
        </w:rPr>
        <w:t>总资产周转率可以用于考察其资产运营效率，反映企业全部资产从投入到产出的流转速度以及资产的管理质量与利用效率。盛剑环境2021年较2020年总资产周转率降低15.38%，反映企业的资源利用效率出现大幅度下降。</w:t>
      </w:r>
    </w:p>
    <w:p>
      <w:pPr>
        <w:rPr>
          <w:rFonts w:hint="eastAsia"/>
          <w:lang w:val="en-US" w:eastAsia="zh-CN"/>
        </w:rPr>
      </w:pPr>
      <w:r>
        <w:rPr>
          <w:rFonts w:hint="eastAsia"/>
          <w:lang w:val="en-US" w:eastAsia="zh-CN"/>
        </w:rPr>
        <w:t>4、权益乘数</w:t>
      </w:r>
    </w:p>
    <w:p>
      <w:pPr>
        <w:ind w:firstLine="420" w:firstLineChars="200"/>
        <w:rPr>
          <w:rFonts w:hint="eastAsia"/>
          <w:lang w:val="en-US" w:eastAsia="zh-CN"/>
        </w:rPr>
      </w:pPr>
      <w:r>
        <w:rPr>
          <w:rFonts w:hint="eastAsia"/>
          <w:lang w:val="en-US" w:eastAsia="zh-CN"/>
        </w:rPr>
        <w:t>权益乘数是资产总额与所有者权益总额的比率，表明资产中股东权益的比例，反映企业对外借款产生的财务杠杆效应程度，表明企业的财务状况。</w:t>
      </w:r>
    </w:p>
    <w:p>
      <w:pPr>
        <w:ind w:firstLine="420" w:firstLineChars="200"/>
        <w:jc w:val="center"/>
        <w:rPr>
          <w:rFonts w:hint="eastAsia"/>
          <w:lang w:val="en-US" w:eastAsia="zh-CN"/>
        </w:rPr>
      </w:pPr>
      <w:r>
        <w:rPr>
          <w:rFonts w:hint="eastAsia"/>
          <w:lang w:val="en-US" w:eastAsia="zh-CN"/>
        </w:rPr>
        <w:t>净资产收益率=销售净利率×总资产周转率×权益乘数</w:t>
      </w:r>
    </w:p>
    <w:p>
      <w:pPr>
        <w:jc w:val="center"/>
        <w:rPr>
          <w:rFonts w:hint="default"/>
          <w:lang w:val="en-US" w:eastAsia="zh-CN"/>
        </w:rPr>
      </w:pPr>
      <w:r>
        <w:rPr>
          <w:rFonts w:hint="eastAsia"/>
          <w:lang w:val="en-US" w:eastAsia="zh-CN"/>
        </w:rPr>
        <w:t>权益乘数=1/（1-资产负债率）</w:t>
      </w:r>
    </w:p>
    <w:p>
      <w:pPr>
        <w:ind w:firstLine="420" w:firstLineChars="200"/>
        <w:rPr>
          <w:rFonts w:hint="default"/>
          <w:lang w:val="en-US" w:eastAsia="zh-CN"/>
        </w:rPr>
      </w:pPr>
      <w:r>
        <w:rPr>
          <w:rFonts w:hint="eastAsia"/>
          <w:lang w:val="en-US" w:eastAsia="zh-CN"/>
        </w:rPr>
        <w:t>盛剑环境权益乘数在2021年出现25.75%的下降，表明该年度盛剑环境负债水平下降，财务杠杆的使用程度降低。</w:t>
      </w:r>
    </w:p>
    <w:p>
      <w:pPr>
        <w:rPr>
          <w:rFonts w:hint="eastAsia"/>
          <w:lang w:val="en-US" w:eastAsia="zh-CN"/>
        </w:rPr>
      </w:pPr>
    </w:p>
    <w:p>
      <w:pPr>
        <w:numPr>
          <w:ilvl w:val="0"/>
          <w:numId w:val="0"/>
        </w:numPr>
        <w:rPr>
          <w:rFonts w:hint="eastAsia"/>
          <w:lang w:val="en-US" w:eastAsia="zh-CN"/>
        </w:rPr>
      </w:pPr>
      <w:r>
        <w:rPr>
          <w:rFonts w:hint="eastAsia" w:asciiTheme="minorHAnsi" w:hAnsiTheme="minorHAnsi" w:eastAsiaTheme="minorEastAsia" w:cstheme="minorBidi"/>
          <w:kern w:val="2"/>
          <w:sz w:val="21"/>
          <w:szCs w:val="24"/>
          <w:lang w:val="en-US" w:eastAsia="zh-CN" w:bidi="ar-SA"/>
        </w:rPr>
        <w:t>5、</w:t>
      </w:r>
      <w:r>
        <w:rPr>
          <w:rFonts w:hint="eastAsia"/>
          <w:lang w:val="en-US" w:eastAsia="zh-CN"/>
        </w:rPr>
        <w:t>行业水平</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numPr>
                <w:numId w:val="0"/>
              </w:numPr>
              <w:rPr>
                <w:rFonts w:hint="default"/>
                <w:vertAlign w:val="baseline"/>
                <w:lang w:val="en-US" w:eastAsia="zh-CN"/>
              </w:rPr>
            </w:pPr>
          </w:p>
        </w:tc>
        <w:tc>
          <w:tcPr>
            <w:tcW w:w="1704" w:type="dxa"/>
          </w:tcPr>
          <w:p>
            <w:pPr>
              <w:numPr>
                <w:numId w:val="0"/>
              </w:numP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2020</w:t>
            </w:r>
          </w:p>
        </w:tc>
        <w:tc>
          <w:tcPr>
            <w:tcW w:w="1704" w:type="dxa"/>
          </w:tcPr>
          <w:p>
            <w:pPr>
              <w:numPr>
                <w:numId w:val="0"/>
              </w:numPr>
              <w:rPr>
                <w:rFonts w:hint="default"/>
                <w:vertAlign w:val="baseline"/>
                <w:lang w:val="en-US" w:eastAsia="zh-CN"/>
              </w:rPr>
            </w:pPr>
            <w:r>
              <w:rPr>
                <w:rFonts w:hint="eastAsia"/>
                <w:vertAlign w:val="baseline"/>
                <w:lang w:val="en-US" w:eastAsia="zh-CN"/>
              </w:rPr>
              <w:t>2021</w:t>
            </w:r>
          </w:p>
        </w:tc>
        <w:tc>
          <w:tcPr>
            <w:tcW w:w="1705" w:type="dxa"/>
          </w:tcPr>
          <w:p>
            <w:pPr>
              <w:numPr>
                <w:numId w:val="0"/>
              </w:numPr>
              <w:rPr>
                <w:rFonts w:hint="default"/>
                <w:vertAlign w:val="baseline"/>
                <w:lang w:val="en-US" w:eastAsia="zh-CN"/>
              </w:rPr>
            </w:pPr>
            <w:r>
              <w:rPr>
                <w:rFonts w:hint="eastAsia"/>
                <w:vertAlign w:val="baseline"/>
                <w:lang w:val="en-US" w:eastAsia="zh-CN"/>
              </w:rPr>
              <w:t>2022</w:t>
            </w:r>
          </w:p>
        </w:tc>
        <w:tc>
          <w:tcPr>
            <w:tcW w:w="1705" w:type="dxa"/>
          </w:tcPr>
          <w:p>
            <w:pPr>
              <w:numPr>
                <w:numId w:val="0"/>
              </w:numPr>
              <w:rPr>
                <w:rFonts w:hint="default"/>
                <w:vertAlign w:val="baseline"/>
                <w:lang w:val="en-US" w:eastAsia="zh-CN"/>
              </w:rPr>
            </w:pPr>
            <w:r>
              <w:rPr>
                <w:rFonts w:hint="eastAsia"/>
                <w:vertAlign w:val="baseline"/>
                <w:lang w:val="en-US" w:eastAsia="zh-CN"/>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shd w:val="clear" w:color="auto" w:fill="DBE3F4" w:themeFill="accent1" w:themeFillTint="32"/>
          </w:tcPr>
          <w:p>
            <w:pPr>
              <w:numPr>
                <w:numId w:val="0"/>
              </w:numP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净资产收益率</w:t>
            </w:r>
          </w:p>
        </w:tc>
        <w:tc>
          <w:tcPr>
            <w:tcW w:w="1704" w:type="dxa"/>
            <w:shd w:val="clear" w:color="auto" w:fill="DBE3F4" w:themeFill="accent1" w:themeFillTint="32"/>
          </w:tcPr>
          <w:p>
            <w:pPr>
              <w:numPr>
                <w:numId w:val="0"/>
              </w:numPr>
              <w:rPr>
                <w:rFonts w:hint="default"/>
                <w:vertAlign w:val="baseline"/>
                <w:lang w:val="en-US" w:eastAsia="zh-CN"/>
              </w:rPr>
            </w:pPr>
            <w:r>
              <w:rPr>
                <w:rFonts w:hint="eastAsia"/>
                <w:vertAlign w:val="baseline"/>
                <w:lang w:val="en-US" w:eastAsia="zh-CN"/>
              </w:rPr>
              <w:t>17.30%</w:t>
            </w:r>
          </w:p>
        </w:tc>
        <w:tc>
          <w:tcPr>
            <w:tcW w:w="1704" w:type="dxa"/>
            <w:shd w:val="clear" w:color="auto" w:fill="DBE3F4" w:themeFill="accent1" w:themeFillTint="32"/>
          </w:tcPr>
          <w:p>
            <w:pPr>
              <w:numPr>
                <w:numId w:val="0"/>
              </w:numPr>
              <w:rPr>
                <w:rFonts w:hint="default"/>
                <w:vertAlign w:val="baseline"/>
                <w:lang w:val="en-US" w:eastAsia="zh-CN"/>
              </w:rPr>
            </w:pPr>
            <w:r>
              <w:rPr>
                <w:rFonts w:hint="eastAsia"/>
                <w:vertAlign w:val="baseline"/>
                <w:lang w:val="en-US" w:eastAsia="zh-CN"/>
              </w:rPr>
              <w:t>11.01%</w:t>
            </w:r>
          </w:p>
        </w:tc>
        <w:tc>
          <w:tcPr>
            <w:tcW w:w="1705" w:type="dxa"/>
            <w:shd w:val="clear" w:color="auto" w:fill="DBE3F4" w:themeFill="accent1" w:themeFillTint="32"/>
          </w:tcPr>
          <w:p>
            <w:pPr>
              <w:numPr>
                <w:numId w:val="0"/>
              </w:numPr>
              <w:rPr>
                <w:rFonts w:hint="default"/>
                <w:vertAlign w:val="baseline"/>
                <w:lang w:val="en-US" w:eastAsia="zh-CN"/>
              </w:rPr>
            </w:pPr>
            <w:r>
              <w:rPr>
                <w:rFonts w:hint="eastAsia"/>
                <w:vertAlign w:val="baseline"/>
                <w:lang w:val="en-US" w:eastAsia="zh-CN"/>
              </w:rPr>
              <w:t>9.15%</w:t>
            </w:r>
          </w:p>
        </w:tc>
        <w:tc>
          <w:tcPr>
            <w:tcW w:w="1705" w:type="dxa"/>
            <w:shd w:val="clear" w:color="auto" w:fill="DBE3F4" w:themeFill="accent1" w:themeFillTint="32"/>
          </w:tcPr>
          <w:p>
            <w:pPr>
              <w:numPr>
                <w:numId w:val="0"/>
              </w:numPr>
              <w:rPr>
                <w:rFonts w:hint="default"/>
                <w:vertAlign w:val="baseline"/>
                <w:lang w:val="en-US" w:eastAsia="zh-CN"/>
              </w:rPr>
            </w:pPr>
            <w:r>
              <w:rPr>
                <w:rFonts w:hint="eastAsia"/>
                <w:vertAlign w:val="baseline"/>
                <w:lang w:val="en-US" w:eastAsia="zh-CN"/>
              </w:rPr>
              <w:t>10.34%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shd w:val="clear" w:color="auto" w:fill="DBE3F4" w:themeFill="accent1" w:themeFillTint="32"/>
          </w:tcPr>
          <w:p>
            <w:pPr>
              <w:numPr>
                <w:numId w:val="0"/>
              </w:numP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行业均值（%）</w:t>
            </w:r>
          </w:p>
        </w:tc>
        <w:tc>
          <w:tcPr>
            <w:tcW w:w="1704" w:type="dxa"/>
            <w:shd w:val="clear" w:color="auto" w:fill="DBE3F4" w:themeFill="accent1" w:themeFillTint="32"/>
          </w:tcPr>
          <w:p>
            <w:pPr>
              <w:numPr>
                <w:numId w:val="0"/>
              </w:numPr>
              <w:rPr>
                <w:rFonts w:hint="default"/>
                <w:vertAlign w:val="baseline"/>
                <w:lang w:val="en-US" w:eastAsia="zh-CN"/>
              </w:rPr>
            </w:pPr>
            <w:r>
              <w:rPr>
                <w:rFonts w:hint="eastAsia"/>
                <w:vertAlign w:val="baseline"/>
                <w:lang w:val="en-US" w:eastAsia="zh-CN"/>
              </w:rPr>
              <w:t>11.45</w:t>
            </w:r>
          </w:p>
        </w:tc>
        <w:tc>
          <w:tcPr>
            <w:tcW w:w="1704" w:type="dxa"/>
            <w:shd w:val="clear" w:color="auto" w:fill="DBE3F4" w:themeFill="accent1" w:themeFillTint="32"/>
          </w:tcPr>
          <w:p>
            <w:pPr>
              <w:numPr>
                <w:numId w:val="0"/>
              </w:numPr>
              <w:rPr>
                <w:rFonts w:hint="default"/>
                <w:vertAlign w:val="baseline"/>
                <w:lang w:val="en-US" w:eastAsia="zh-CN"/>
              </w:rPr>
            </w:pPr>
            <w:r>
              <w:rPr>
                <w:rFonts w:hint="eastAsia"/>
                <w:vertAlign w:val="baseline"/>
                <w:lang w:val="en-US" w:eastAsia="zh-CN"/>
              </w:rPr>
              <w:t>6.07</w:t>
            </w:r>
          </w:p>
        </w:tc>
        <w:tc>
          <w:tcPr>
            <w:tcW w:w="1705" w:type="dxa"/>
            <w:shd w:val="clear" w:color="auto" w:fill="DBE3F4" w:themeFill="accent1" w:themeFillTint="32"/>
          </w:tcPr>
          <w:p>
            <w:pPr>
              <w:numPr>
                <w:numId w:val="0"/>
              </w:numPr>
              <w:rPr>
                <w:rFonts w:hint="default"/>
                <w:vertAlign w:val="baseline"/>
                <w:lang w:val="en-US" w:eastAsia="zh-CN"/>
              </w:rPr>
            </w:pPr>
            <w:r>
              <w:rPr>
                <w:rFonts w:hint="eastAsia"/>
                <w:vertAlign w:val="baseline"/>
                <w:lang w:val="en-US" w:eastAsia="zh-CN"/>
              </w:rPr>
              <w:t>6.95</w:t>
            </w:r>
          </w:p>
        </w:tc>
        <w:tc>
          <w:tcPr>
            <w:tcW w:w="1705" w:type="dxa"/>
            <w:shd w:val="clear" w:color="auto" w:fill="DBE3F4" w:themeFill="accent1" w:themeFillTint="32"/>
          </w:tcPr>
          <w:p>
            <w:pPr>
              <w:numPr>
                <w:numId w:val="0"/>
              </w:numPr>
              <w:rPr>
                <w:rFonts w:hint="default"/>
                <w:vertAlign w:val="baseline"/>
                <w:lang w:val="en-US" w:eastAsia="zh-CN"/>
              </w:rPr>
            </w:pPr>
            <w:r>
              <w:rPr>
                <w:rFonts w:hint="eastAsia"/>
                <w:vertAlign w:val="baseline"/>
                <w:lang w:val="en-US" w:eastAsia="zh-CN"/>
              </w:rPr>
              <w:t>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shd w:val="clear" w:color="auto" w:fill="DBE3F4" w:themeFill="accent1" w:themeFillTint="32"/>
          </w:tcPr>
          <w:p>
            <w:pPr>
              <w:numPr>
                <w:numId w:val="0"/>
              </w:numP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排名</w:t>
            </w:r>
          </w:p>
        </w:tc>
        <w:tc>
          <w:tcPr>
            <w:tcW w:w="1704" w:type="dxa"/>
            <w:shd w:val="clear" w:color="auto" w:fill="DBE3F4" w:themeFill="accent1" w:themeFillTint="32"/>
          </w:tcPr>
          <w:p>
            <w:pPr>
              <w:numPr>
                <w:numId w:val="0"/>
              </w:numPr>
              <w:rPr>
                <w:rFonts w:hint="default"/>
                <w:vertAlign w:val="baseline"/>
                <w:lang w:val="en-US" w:eastAsia="zh-CN"/>
              </w:rPr>
            </w:pPr>
            <w:r>
              <w:rPr>
                <w:rFonts w:hint="eastAsia"/>
                <w:vertAlign w:val="baseline"/>
                <w:lang w:val="en-US" w:eastAsia="zh-CN"/>
              </w:rPr>
              <w:t>113</w:t>
            </w:r>
          </w:p>
        </w:tc>
        <w:tc>
          <w:tcPr>
            <w:tcW w:w="1704" w:type="dxa"/>
            <w:shd w:val="clear" w:color="auto" w:fill="DBE3F4" w:themeFill="accent1" w:themeFillTint="32"/>
          </w:tcPr>
          <w:p>
            <w:pPr>
              <w:numPr>
                <w:numId w:val="0"/>
              </w:numPr>
              <w:rPr>
                <w:rFonts w:hint="default"/>
                <w:vertAlign w:val="baseline"/>
                <w:lang w:val="en-US" w:eastAsia="zh-CN"/>
              </w:rPr>
            </w:pPr>
            <w:r>
              <w:rPr>
                <w:rFonts w:hint="eastAsia"/>
                <w:vertAlign w:val="baseline"/>
                <w:lang w:val="en-US" w:eastAsia="zh-CN"/>
              </w:rPr>
              <w:t>162</w:t>
            </w:r>
          </w:p>
        </w:tc>
        <w:tc>
          <w:tcPr>
            <w:tcW w:w="1705" w:type="dxa"/>
            <w:shd w:val="clear" w:color="auto" w:fill="DBE3F4" w:themeFill="accent1" w:themeFillTint="32"/>
          </w:tcPr>
          <w:p>
            <w:pPr>
              <w:numPr>
                <w:numId w:val="0"/>
              </w:numPr>
              <w:rPr>
                <w:rFonts w:hint="default"/>
                <w:vertAlign w:val="baseline"/>
                <w:lang w:val="en-US" w:eastAsia="zh-CN"/>
              </w:rPr>
            </w:pPr>
            <w:r>
              <w:rPr>
                <w:rFonts w:hint="eastAsia"/>
                <w:vertAlign w:val="baseline"/>
                <w:lang w:val="en-US" w:eastAsia="zh-CN"/>
              </w:rPr>
              <w:t>175</w:t>
            </w:r>
          </w:p>
        </w:tc>
        <w:tc>
          <w:tcPr>
            <w:tcW w:w="1705" w:type="dxa"/>
            <w:shd w:val="clear" w:color="auto" w:fill="DBE3F4" w:themeFill="accent1" w:themeFillTint="32"/>
          </w:tcPr>
          <w:p>
            <w:pPr>
              <w:numPr>
                <w:numId w:val="0"/>
              </w:numPr>
              <w:rPr>
                <w:rFonts w:hint="default"/>
                <w:vertAlign w:val="baseline"/>
                <w:lang w:val="en-US" w:eastAsia="zh-CN"/>
              </w:rPr>
            </w:pPr>
            <w:r>
              <w:rPr>
                <w:rFonts w:hint="eastAsia"/>
                <w:vertAlign w:val="baseline"/>
                <w:lang w:val="en-US" w:eastAsia="zh-CN"/>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shd w:val="clear" w:color="auto" w:fill="FBE6D6" w:themeFill="accent2" w:themeFillTint="32"/>
          </w:tcPr>
          <w:p>
            <w:pPr>
              <w:numPr>
                <w:numId w:val="0"/>
              </w:numPr>
              <w:jc w:val="both"/>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总资产周转率</w:t>
            </w:r>
          </w:p>
        </w:tc>
        <w:tc>
          <w:tcPr>
            <w:tcW w:w="1704" w:type="dxa"/>
            <w:shd w:val="clear" w:color="auto" w:fill="FBE6D6" w:themeFill="accent2" w:themeFillTint="32"/>
          </w:tcPr>
          <w:p>
            <w:pPr>
              <w:numPr>
                <w:numId w:val="0"/>
              </w:numPr>
              <w:rPr>
                <w:rFonts w:hint="default"/>
                <w:vertAlign w:val="baseline"/>
                <w:lang w:val="en-US" w:eastAsia="zh-CN"/>
              </w:rPr>
            </w:pPr>
            <w:r>
              <w:rPr>
                <w:rFonts w:hint="eastAsia"/>
                <w:vertAlign w:val="baseline"/>
                <w:lang w:val="en-US" w:eastAsia="zh-CN"/>
              </w:rPr>
              <w:t>70.30%</w:t>
            </w:r>
          </w:p>
        </w:tc>
        <w:tc>
          <w:tcPr>
            <w:tcW w:w="1704" w:type="dxa"/>
            <w:shd w:val="clear" w:color="auto" w:fill="FBE6D6" w:themeFill="accent2" w:themeFillTint="32"/>
          </w:tcPr>
          <w:p>
            <w:pPr>
              <w:numPr>
                <w:numId w:val="0"/>
              </w:numPr>
              <w:rPr>
                <w:rFonts w:hint="default"/>
                <w:vertAlign w:val="baseline"/>
                <w:lang w:val="en-US" w:eastAsia="zh-CN"/>
              </w:rPr>
            </w:pPr>
            <w:r>
              <w:rPr>
                <w:rFonts w:hint="eastAsia"/>
                <w:vertAlign w:val="baseline"/>
                <w:lang w:val="en-US" w:eastAsia="zh-CN"/>
              </w:rPr>
              <w:t>54.92%</w:t>
            </w:r>
          </w:p>
        </w:tc>
        <w:tc>
          <w:tcPr>
            <w:tcW w:w="1705" w:type="dxa"/>
            <w:shd w:val="clear" w:color="auto" w:fill="FBE6D6" w:themeFill="accent2" w:themeFillTint="32"/>
          </w:tcPr>
          <w:p>
            <w:pPr>
              <w:numPr>
                <w:numId w:val="0"/>
              </w:numPr>
              <w:rPr>
                <w:rFonts w:hint="default"/>
                <w:vertAlign w:val="baseline"/>
                <w:lang w:val="en-US" w:eastAsia="zh-CN"/>
              </w:rPr>
            </w:pPr>
            <w:r>
              <w:rPr>
                <w:rFonts w:hint="eastAsia"/>
                <w:vertAlign w:val="baseline"/>
                <w:lang w:val="en-US" w:eastAsia="zh-CN"/>
              </w:rPr>
              <w:t>51.11%</w:t>
            </w:r>
          </w:p>
        </w:tc>
        <w:tc>
          <w:tcPr>
            <w:tcW w:w="1705" w:type="dxa"/>
            <w:shd w:val="clear" w:color="auto" w:fill="FBE6D6" w:themeFill="accent2" w:themeFillTint="32"/>
          </w:tcPr>
          <w:p>
            <w:pPr>
              <w:numPr>
                <w:numId w:val="0"/>
              </w:numPr>
              <w:rPr>
                <w:rFonts w:hint="default"/>
                <w:vertAlign w:val="baseline"/>
                <w:lang w:val="en-US" w:eastAsia="zh-CN"/>
              </w:rPr>
            </w:pPr>
            <w:r>
              <w:rPr>
                <w:rFonts w:hint="eastAsia"/>
                <w:vertAlign w:val="baseline"/>
                <w:lang w:val="en-US" w:eastAsia="zh-CN"/>
              </w:rPr>
              <w:t>52.78%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shd w:val="clear" w:color="auto" w:fill="FBE6D6" w:themeFill="accent2" w:themeFillTint="32"/>
          </w:tcPr>
          <w:p>
            <w:pPr>
              <w:numPr>
                <w:numId w:val="0"/>
              </w:numPr>
              <w:jc w:val="both"/>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行业均值（%）</w:t>
            </w:r>
          </w:p>
        </w:tc>
        <w:tc>
          <w:tcPr>
            <w:tcW w:w="1704" w:type="dxa"/>
            <w:shd w:val="clear" w:color="auto" w:fill="FBE6D6" w:themeFill="accent2" w:themeFillTint="32"/>
          </w:tcPr>
          <w:p>
            <w:pPr>
              <w:numPr>
                <w:numId w:val="0"/>
              </w:numPr>
              <w:rPr>
                <w:rFonts w:hint="default"/>
                <w:vertAlign w:val="baseline"/>
                <w:lang w:val="en-US" w:eastAsia="zh-CN"/>
              </w:rPr>
            </w:pPr>
            <w:r>
              <w:rPr>
                <w:rFonts w:hint="eastAsia"/>
                <w:vertAlign w:val="baseline"/>
                <w:lang w:val="en-US" w:eastAsia="zh-CN"/>
              </w:rPr>
              <w:t>52.81</w:t>
            </w:r>
          </w:p>
        </w:tc>
        <w:tc>
          <w:tcPr>
            <w:tcW w:w="1704" w:type="dxa"/>
            <w:shd w:val="clear" w:color="auto" w:fill="FBE6D6" w:themeFill="accent2" w:themeFillTint="32"/>
          </w:tcPr>
          <w:p>
            <w:pPr>
              <w:numPr>
                <w:numId w:val="0"/>
              </w:numPr>
              <w:rPr>
                <w:rFonts w:hint="default"/>
                <w:vertAlign w:val="baseline"/>
                <w:lang w:val="en-US" w:eastAsia="zh-CN"/>
              </w:rPr>
            </w:pPr>
            <w:r>
              <w:rPr>
                <w:rFonts w:hint="eastAsia"/>
                <w:vertAlign w:val="baseline"/>
                <w:lang w:val="en-US" w:eastAsia="zh-CN"/>
              </w:rPr>
              <w:t>52.13</w:t>
            </w:r>
          </w:p>
        </w:tc>
        <w:tc>
          <w:tcPr>
            <w:tcW w:w="1705" w:type="dxa"/>
            <w:shd w:val="clear" w:color="auto" w:fill="FBE6D6" w:themeFill="accent2" w:themeFillTint="32"/>
          </w:tcPr>
          <w:p>
            <w:pPr>
              <w:numPr>
                <w:numId w:val="0"/>
              </w:numPr>
              <w:rPr>
                <w:rFonts w:hint="default"/>
                <w:vertAlign w:val="baseline"/>
                <w:lang w:val="en-US" w:eastAsia="zh-CN"/>
              </w:rPr>
            </w:pPr>
            <w:r>
              <w:rPr>
                <w:rFonts w:hint="eastAsia"/>
                <w:vertAlign w:val="baseline"/>
                <w:lang w:val="en-US" w:eastAsia="zh-CN"/>
              </w:rPr>
              <w:t>46.21</w:t>
            </w:r>
          </w:p>
        </w:tc>
        <w:tc>
          <w:tcPr>
            <w:tcW w:w="1705" w:type="dxa"/>
            <w:shd w:val="clear" w:color="auto" w:fill="FBE6D6" w:themeFill="accent2" w:themeFillTint="32"/>
          </w:tcPr>
          <w:p>
            <w:pPr>
              <w:numPr>
                <w:numId w:val="0"/>
              </w:numPr>
              <w:rPr>
                <w:rFonts w:hint="default"/>
                <w:vertAlign w:val="baseline"/>
                <w:lang w:val="en-US" w:eastAsia="zh-CN"/>
              </w:rPr>
            </w:pPr>
            <w:r>
              <w:rPr>
                <w:rFonts w:hint="eastAsia"/>
                <w:vertAlign w:val="baseline"/>
                <w:lang w:val="en-US" w:eastAsia="zh-CN"/>
              </w:rPr>
              <w:t>45.71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shd w:val="clear" w:color="auto" w:fill="FBE6D6" w:themeFill="accent2" w:themeFillTint="32"/>
          </w:tcPr>
          <w:p>
            <w:pPr>
              <w:numPr>
                <w:numId w:val="0"/>
              </w:numP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排名</w:t>
            </w:r>
          </w:p>
        </w:tc>
        <w:tc>
          <w:tcPr>
            <w:tcW w:w="1704" w:type="dxa"/>
            <w:shd w:val="clear" w:color="auto" w:fill="FBE6D6" w:themeFill="accent2" w:themeFillTint="32"/>
          </w:tcPr>
          <w:p>
            <w:pPr>
              <w:numPr>
                <w:numId w:val="0"/>
              </w:numPr>
              <w:rPr>
                <w:rFonts w:hint="default"/>
                <w:vertAlign w:val="baseline"/>
                <w:lang w:val="en-US" w:eastAsia="zh-CN"/>
              </w:rPr>
            </w:pPr>
            <w:r>
              <w:rPr>
                <w:rFonts w:hint="eastAsia"/>
                <w:vertAlign w:val="baseline"/>
                <w:lang w:val="en-US" w:eastAsia="zh-CN"/>
              </w:rPr>
              <w:t>73</w:t>
            </w:r>
          </w:p>
        </w:tc>
        <w:tc>
          <w:tcPr>
            <w:tcW w:w="1704" w:type="dxa"/>
            <w:shd w:val="clear" w:color="auto" w:fill="FBE6D6" w:themeFill="accent2" w:themeFillTint="32"/>
          </w:tcPr>
          <w:p>
            <w:pPr>
              <w:numPr>
                <w:numId w:val="0"/>
              </w:numPr>
              <w:rPr>
                <w:rFonts w:hint="default"/>
                <w:vertAlign w:val="baseline"/>
                <w:lang w:val="en-US" w:eastAsia="zh-CN"/>
              </w:rPr>
            </w:pPr>
            <w:r>
              <w:rPr>
                <w:rFonts w:hint="eastAsia"/>
                <w:vertAlign w:val="baseline"/>
                <w:lang w:val="en-US" w:eastAsia="zh-CN"/>
              </w:rPr>
              <w:t>158</w:t>
            </w:r>
          </w:p>
        </w:tc>
        <w:tc>
          <w:tcPr>
            <w:tcW w:w="1705" w:type="dxa"/>
            <w:shd w:val="clear" w:color="auto" w:fill="FBE6D6" w:themeFill="accent2" w:themeFillTint="32"/>
          </w:tcPr>
          <w:p>
            <w:pPr>
              <w:numPr>
                <w:numId w:val="0"/>
              </w:numPr>
              <w:rPr>
                <w:rFonts w:hint="default"/>
                <w:vertAlign w:val="baseline"/>
                <w:lang w:val="en-US" w:eastAsia="zh-CN"/>
              </w:rPr>
            </w:pPr>
            <w:r>
              <w:rPr>
                <w:rFonts w:hint="eastAsia"/>
                <w:vertAlign w:val="baseline"/>
                <w:lang w:val="en-US" w:eastAsia="zh-CN"/>
              </w:rPr>
              <w:t>134</w:t>
            </w:r>
          </w:p>
        </w:tc>
        <w:tc>
          <w:tcPr>
            <w:tcW w:w="1705" w:type="dxa"/>
            <w:shd w:val="clear" w:color="auto" w:fill="FBE6D6" w:themeFill="accent2" w:themeFillTint="32"/>
          </w:tcPr>
          <w:p>
            <w:pPr>
              <w:numPr>
                <w:numId w:val="0"/>
              </w:numPr>
              <w:rPr>
                <w:rFonts w:hint="default"/>
                <w:vertAlign w:val="baseline"/>
                <w:lang w:val="en-US" w:eastAsia="zh-CN"/>
              </w:rPr>
            </w:pPr>
            <w:r>
              <w:rPr>
                <w:rFonts w:hint="eastAsia"/>
                <w:vertAlign w:val="baseline"/>
                <w:lang w:val="en-US" w:eastAsia="zh-C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shd w:val="clear" w:color="auto" w:fill="FEF2CB" w:themeFill="accent3" w:themeFillTint="32"/>
          </w:tcPr>
          <w:p>
            <w:pPr>
              <w:numPr>
                <w:numId w:val="0"/>
              </w:numP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销售净利率（%）</w:t>
            </w:r>
          </w:p>
        </w:tc>
        <w:tc>
          <w:tcPr>
            <w:tcW w:w="1704" w:type="dxa"/>
            <w:shd w:val="clear" w:color="auto" w:fill="FEF2CB" w:themeFill="accent3" w:themeFillTint="32"/>
          </w:tcPr>
          <w:p>
            <w:pPr>
              <w:numPr>
                <w:numId w:val="0"/>
              </w:numPr>
              <w:rPr>
                <w:rFonts w:hint="default"/>
                <w:vertAlign w:val="baseline"/>
                <w:lang w:val="en-US" w:eastAsia="zh-CN"/>
              </w:rPr>
            </w:pPr>
            <w:r>
              <w:rPr>
                <w:rFonts w:hint="eastAsia"/>
                <w:vertAlign w:val="baseline"/>
                <w:lang w:val="en-US" w:eastAsia="zh-CN"/>
              </w:rPr>
              <w:t>12.97</w:t>
            </w:r>
          </w:p>
        </w:tc>
        <w:tc>
          <w:tcPr>
            <w:tcW w:w="1704" w:type="dxa"/>
            <w:shd w:val="clear" w:color="auto" w:fill="FEF2CB" w:themeFill="accent3" w:themeFillTint="32"/>
          </w:tcPr>
          <w:p>
            <w:pPr>
              <w:numPr>
                <w:numId w:val="0"/>
              </w:numPr>
              <w:rPr>
                <w:rFonts w:hint="default"/>
                <w:vertAlign w:val="baseline"/>
                <w:lang w:val="en-US" w:eastAsia="zh-CN"/>
              </w:rPr>
            </w:pPr>
            <w:r>
              <w:rPr>
                <w:rFonts w:hint="eastAsia"/>
                <w:vertAlign w:val="baseline"/>
                <w:lang w:val="en-US" w:eastAsia="zh-CN"/>
              </w:rPr>
              <w:t>12.36</w:t>
            </w:r>
          </w:p>
        </w:tc>
        <w:tc>
          <w:tcPr>
            <w:tcW w:w="1705" w:type="dxa"/>
            <w:shd w:val="clear" w:color="auto" w:fill="FEF2CB" w:themeFill="accent3" w:themeFillTint="32"/>
          </w:tcPr>
          <w:p>
            <w:pPr>
              <w:numPr>
                <w:numId w:val="0"/>
              </w:numPr>
              <w:rPr>
                <w:rFonts w:hint="default"/>
                <w:vertAlign w:val="baseline"/>
                <w:lang w:val="en-US" w:eastAsia="zh-CN"/>
              </w:rPr>
            </w:pPr>
            <w:r>
              <w:rPr>
                <w:rFonts w:hint="eastAsia"/>
                <w:vertAlign w:val="baseline"/>
                <w:lang w:val="en-US" w:eastAsia="zh-CN"/>
              </w:rPr>
              <w:t>9.81</w:t>
            </w:r>
          </w:p>
        </w:tc>
        <w:tc>
          <w:tcPr>
            <w:tcW w:w="1705" w:type="dxa"/>
            <w:shd w:val="clear" w:color="auto" w:fill="FEF2CB" w:themeFill="accent3" w:themeFillTint="32"/>
          </w:tcPr>
          <w:p>
            <w:pPr>
              <w:numPr>
                <w:numId w:val="0"/>
              </w:numPr>
              <w:rPr>
                <w:rFonts w:hint="default"/>
                <w:vertAlign w:val="baseline"/>
                <w:lang w:val="en-US" w:eastAsia="zh-CN"/>
              </w:rPr>
            </w:pPr>
            <w:r>
              <w:rPr>
                <w:rFonts w:hint="eastAsia"/>
                <w:vertAlign w:val="baseline"/>
                <w:lang w:val="en-US" w:eastAsia="zh-CN"/>
              </w:rPr>
              <w:t>9.06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shd w:val="clear" w:color="auto" w:fill="FEF2CB" w:themeFill="accent3" w:themeFillTint="32"/>
          </w:tcPr>
          <w:p>
            <w:pPr>
              <w:numPr>
                <w:numId w:val="0"/>
              </w:numP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行业均值（%）</w:t>
            </w:r>
          </w:p>
        </w:tc>
        <w:tc>
          <w:tcPr>
            <w:tcW w:w="1704" w:type="dxa"/>
            <w:shd w:val="clear" w:color="auto" w:fill="FEF2CB" w:themeFill="accent3" w:themeFillTint="32"/>
          </w:tcPr>
          <w:p>
            <w:pPr>
              <w:numPr>
                <w:numId w:val="0"/>
              </w:numPr>
              <w:rPr>
                <w:rFonts w:hint="default"/>
                <w:vertAlign w:val="baseline"/>
                <w:lang w:val="en-US" w:eastAsia="zh-CN"/>
              </w:rPr>
            </w:pPr>
            <w:r>
              <w:rPr>
                <w:rFonts w:hint="eastAsia"/>
                <w:vertAlign w:val="baseline"/>
                <w:lang w:val="en-US" w:eastAsia="zh-CN"/>
              </w:rPr>
              <w:t>12.11</w:t>
            </w:r>
          </w:p>
        </w:tc>
        <w:tc>
          <w:tcPr>
            <w:tcW w:w="1704" w:type="dxa"/>
            <w:shd w:val="clear" w:color="auto" w:fill="FEF2CB" w:themeFill="accent3" w:themeFillTint="32"/>
          </w:tcPr>
          <w:p>
            <w:pPr>
              <w:numPr>
                <w:numId w:val="0"/>
              </w:numPr>
              <w:rPr>
                <w:rFonts w:hint="default"/>
                <w:vertAlign w:val="baseline"/>
                <w:lang w:val="en-US" w:eastAsia="zh-CN"/>
              </w:rPr>
            </w:pPr>
            <w:r>
              <w:rPr>
                <w:rFonts w:hint="eastAsia"/>
                <w:vertAlign w:val="baseline"/>
                <w:lang w:val="en-US" w:eastAsia="zh-CN"/>
              </w:rPr>
              <w:t>10.56</w:t>
            </w:r>
          </w:p>
        </w:tc>
        <w:tc>
          <w:tcPr>
            <w:tcW w:w="1705" w:type="dxa"/>
            <w:shd w:val="clear" w:color="auto" w:fill="FEF2CB" w:themeFill="accent3" w:themeFillTint="32"/>
          </w:tcPr>
          <w:p>
            <w:pPr>
              <w:numPr>
                <w:numId w:val="0"/>
              </w:numPr>
              <w:rPr>
                <w:rFonts w:hint="default"/>
                <w:vertAlign w:val="baseline"/>
                <w:lang w:val="en-US" w:eastAsia="zh-CN"/>
              </w:rPr>
            </w:pPr>
            <w:r>
              <w:rPr>
                <w:rFonts w:hint="eastAsia"/>
                <w:vertAlign w:val="baseline"/>
                <w:lang w:val="en-US" w:eastAsia="zh-CN"/>
              </w:rPr>
              <w:t>10.09</w:t>
            </w:r>
          </w:p>
        </w:tc>
        <w:tc>
          <w:tcPr>
            <w:tcW w:w="1705" w:type="dxa"/>
            <w:shd w:val="clear" w:color="auto" w:fill="FEF2CB" w:themeFill="accent3" w:themeFillTint="32"/>
          </w:tcPr>
          <w:p>
            <w:pPr>
              <w:numPr>
                <w:numId w:val="0"/>
              </w:numPr>
              <w:rPr>
                <w:rFonts w:hint="default"/>
                <w:vertAlign w:val="baseline"/>
                <w:lang w:val="en-US" w:eastAsia="zh-CN"/>
              </w:rPr>
            </w:pPr>
            <w:r>
              <w:rPr>
                <w:rFonts w:hint="eastAsia"/>
                <w:vertAlign w:val="baseline"/>
                <w:lang w:val="en-US" w:eastAsia="zh-CN"/>
              </w:rPr>
              <w:t>10.80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shd w:val="clear" w:color="auto" w:fill="FEF2CB" w:themeFill="accent3" w:themeFillTint="32"/>
          </w:tcPr>
          <w:p>
            <w:pPr>
              <w:numPr>
                <w:numId w:val="0"/>
              </w:numP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排名</w:t>
            </w:r>
          </w:p>
        </w:tc>
        <w:tc>
          <w:tcPr>
            <w:tcW w:w="1704" w:type="dxa"/>
            <w:shd w:val="clear" w:color="auto" w:fill="FEF2CB" w:themeFill="accent3" w:themeFillTint="32"/>
          </w:tcPr>
          <w:p>
            <w:pPr>
              <w:numPr>
                <w:numId w:val="0"/>
              </w:numPr>
              <w:rPr>
                <w:rFonts w:hint="default"/>
                <w:vertAlign w:val="baseline"/>
                <w:lang w:val="en-US" w:eastAsia="zh-CN"/>
              </w:rPr>
            </w:pPr>
            <w:r>
              <w:rPr>
                <w:rFonts w:hint="eastAsia"/>
                <w:vertAlign w:val="baseline"/>
                <w:lang w:val="en-US" w:eastAsia="zh-CN"/>
              </w:rPr>
              <w:t>198</w:t>
            </w:r>
          </w:p>
        </w:tc>
        <w:tc>
          <w:tcPr>
            <w:tcW w:w="1704" w:type="dxa"/>
            <w:shd w:val="clear" w:color="auto" w:fill="FEF2CB" w:themeFill="accent3" w:themeFillTint="32"/>
          </w:tcPr>
          <w:p>
            <w:pPr>
              <w:numPr>
                <w:numId w:val="0"/>
              </w:numPr>
              <w:rPr>
                <w:rFonts w:hint="default"/>
                <w:vertAlign w:val="baseline"/>
                <w:lang w:val="en-US" w:eastAsia="zh-CN"/>
              </w:rPr>
            </w:pPr>
            <w:r>
              <w:rPr>
                <w:rFonts w:hint="eastAsia"/>
                <w:vertAlign w:val="baseline"/>
                <w:lang w:val="en-US" w:eastAsia="zh-CN"/>
              </w:rPr>
              <w:t>189</w:t>
            </w:r>
          </w:p>
        </w:tc>
        <w:tc>
          <w:tcPr>
            <w:tcW w:w="1705" w:type="dxa"/>
            <w:shd w:val="clear" w:color="auto" w:fill="FEF2CB" w:themeFill="accent3" w:themeFillTint="32"/>
          </w:tcPr>
          <w:p>
            <w:pPr>
              <w:numPr>
                <w:numId w:val="0"/>
              </w:numPr>
              <w:rPr>
                <w:rFonts w:hint="default"/>
                <w:vertAlign w:val="baseline"/>
                <w:lang w:val="en-US" w:eastAsia="zh-CN"/>
              </w:rPr>
            </w:pPr>
            <w:r>
              <w:rPr>
                <w:rFonts w:hint="eastAsia"/>
                <w:vertAlign w:val="baseline"/>
                <w:lang w:val="en-US" w:eastAsia="zh-CN"/>
              </w:rPr>
              <w:t>213</w:t>
            </w:r>
          </w:p>
        </w:tc>
        <w:tc>
          <w:tcPr>
            <w:tcW w:w="1705" w:type="dxa"/>
            <w:shd w:val="clear" w:color="auto" w:fill="FEF2CB" w:themeFill="accent3" w:themeFillTint="32"/>
          </w:tcPr>
          <w:p>
            <w:pPr>
              <w:numPr>
                <w:numId w:val="0"/>
              </w:numPr>
              <w:rPr>
                <w:rFonts w:hint="default"/>
                <w:vertAlign w:val="baseline"/>
                <w:lang w:val="en-US" w:eastAsia="zh-CN"/>
              </w:rPr>
            </w:pPr>
            <w:r>
              <w:rPr>
                <w:rFonts w:hint="eastAsia"/>
                <w:vertAlign w:val="baseline"/>
                <w:lang w:val="en-US" w:eastAsia="zh-CN"/>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shd w:val="clear" w:color="auto" w:fill="E3F2D9" w:themeFill="accent4" w:themeFillTint="32"/>
          </w:tcPr>
          <w:p>
            <w:pPr>
              <w:numPr>
                <w:numId w:val="0"/>
              </w:numP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权益乘数（%）</w:t>
            </w:r>
          </w:p>
        </w:tc>
        <w:tc>
          <w:tcPr>
            <w:tcW w:w="1704" w:type="dxa"/>
            <w:shd w:val="clear" w:color="auto" w:fill="E3F2D9" w:themeFill="accent4" w:themeFillTint="32"/>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1.90</w:t>
            </w:r>
          </w:p>
        </w:tc>
        <w:tc>
          <w:tcPr>
            <w:tcW w:w="1704" w:type="dxa"/>
            <w:shd w:val="clear" w:color="auto" w:fill="E3F2D9" w:themeFill="accent4" w:themeFillTint="32"/>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1.62</w:t>
            </w:r>
          </w:p>
        </w:tc>
        <w:tc>
          <w:tcPr>
            <w:tcW w:w="1705" w:type="dxa"/>
            <w:shd w:val="clear" w:color="auto" w:fill="E3F2D9" w:themeFill="accent4" w:themeFillTint="32"/>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1.82</w:t>
            </w:r>
          </w:p>
        </w:tc>
        <w:tc>
          <w:tcPr>
            <w:tcW w:w="1705" w:type="dxa"/>
            <w:shd w:val="clear" w:color="auto" w:fill="E3F2D9" w:themeFill="accent4" w:themeFillTint="32"/>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shd w:val="clear" w:color="auto" w:fill="E3F2D9" w:themeFill="accent4" w:themeFillTint="32"/>
          </w:tcPr>
          <w:p>
            <w:pPr>
              <w:numPr>
                <w:numId w:val="0"/>
              </w:numP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行业均值</w:t>
            </w:r>
          </w:p>
        </w:tc>
        <w:tc>
          <w:tcPr>
            <w:tcW w:w="1704" w:type="dxa"/>
            <w:shd w:val="clear" w:color="auto" w:fill="E3F2D9" w:themeFill="accent4" w:themeFillTint="32"/>
          </w:tcPr>
          <w:p>
            <w:pPr>
              <w:numPr>
                <w:numId w:val="0"/>
              </w:numPr>
              <w:rPr>
                <w:rFonts w:hint="default"/>
                <w:vertAlign w:val="baseline"/>
                <w:lang w:val="en-US" w:eastAsia="zh-CN"/>
              </w:rPr>
            </w:pPr>
            <w:r>
              <w:rPr>
                <w:rFonts w:hint="eastAsia"/>
                <w:vertAlign w:val="baseline"/>
                <w:lang w:val="en-US" w:eastAsia="zh-CN"/>
              </w:rPr>
              <w:t>1.93</w:t>
            </w:r>
          </w:p>
        </w:tc>
        <w:tc>
          <w:tcPr>
            <w:tcW w:w="1704" w:type="dxa"/>
            <w:shd w:val="clear" w:color="auto" w:fill="E3F2D9" w:themeFill="accent4" w:themeFillTint="32"/>
          </w:tcPr>
          <w:p>
            <w:pPr>
              <w:numPr>
                <w:numId w:val="0"/>
              </w:numPr>
              <w:rPr>
                <w:rFonts w:hint="default"/>
                <w:vertAlign w:val="baseline"/>
                <w:lang w:val="en-US" w:eastAsia="zh-CN"/>
              </w:rPr>
            </w:pPr>
            <w:r>
              <w:rPr>
                <w:rFonts w:hint="eastAsia"/>
                <w:vertAlign w:val="baseline"/>
                <w:lang w:val="en-US" w:eastAsia="zh-CN"/>
              </w:rPr>
              <w:t>2.09</w:t>
            </w:r>
          </w:p>
        </w:tc>
        <w:tc>
          <w:tcPr>
            <w:tcW w:w="1705" w:type="dxa"/>
            <w:shd w:val="clear" w:color="auto" w:fill="E3F2D9" w:themeFill="accent4" w:themeFillTint="32"/>
          </w:tcPr>
          <w:p>
            <w:pPr>
              <w:numPr>
                <w:numId w:val="0"/>
              </w:numPr>
              <w:rPr>
                <w:rFonts w:hint="default"/>
                <w:vertAlign w:val="baseline"/>
                <w:lang w:val="en-US" w:eastAsia="zh-CN"/>
              </w:rPr>
            </w:pPr>
            <w:r>
              <w:rPr>
                <w:rFonts w:hint="eastAsia"/>
                <w:vertAlign w:val="baseline"/>
                <w:lang w:val="en-US" w:eastAsia="zh-CN"/>
              </w:rPr>
              <w:t>1.94</w:t>
            </w:r>
          </w:p>
        </w:tc>
        <w:tc>
          <w:tcPr>
            <w:tcW w:w="1705" w:type="dxa"/>
            <w:shd w:val="clear" w:color="auto" w:fill="E3F2D9" w:themeFill="accent4" w:themeFillTint="32"/>
          </w:tcPr>
          <w:p>
            <w:pPr>
              <w:numPr>
                <w:numId w:val="0"/>
              </w:numPr>
              <w:rPr>
                <w:rFonts w:hint="default"/>
                <w:vertAlign w:val="baseline"/>
                <w:lang w:val="en-US" w:eastAsia="zh-CN"/>
              </w:rPr>
            </w:pPr>
            <w:r>
              <w:rPr>
                <w:rFonts w:hint="eastAsia"/>
                <w:vertAlign w:val="baseline"/>
                <w:lang w:val="en-US" w:eastAsia="zh-CN"/>
              </w:rPr>
              <w:t>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shd w:val="clear" w:color="auto" w:fill="E3F2D9" w:themeFill="accent4" w:themeFillTint="32"/>
          </w:tcPr>
          <w:p>
            <w:pPr>
              <w:numPr>
                <w:numId w:val="0"/>
              </w:numP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排名</w:t>
            </w:r>
          </w:p>
        </w:tc>
        <w:tc>
          <w:tcPr>
            <w:tcW w:w="1704" w:type="dxa"/>
            <w:shd w:val="clear" w:color="auto" w:fill="E3F2D9" w:themeFill="accent4" w:themeFillTint="32"/>
          </w:tcPr>
          <w:p>
            <w:pPr>
              <w:numPr>
                <w:numId w:val="0"/>
              </w:numPr>
              <w:rPr>
                <w:rFonts w:hint="default"/>
                <w:vertAlign w:val="baseline"/>
                <w:lang w:val="en-US" w:eastAsia="zh-CN"/>
              </w:rPr>
            </w:pPr>
            <w:r>
              <w:rPr>
                <w:rFonts w:hint="eastAsia"/>
                <w:vertAlign w:val="baseline"/>
                <w:lang w:val="en-US" w:eastAsia="zh-CN"/>
              </w:rPr>
              <w:t>142</w:t>
            </w:r>
          </w:p>
        </w:tc>
        <w:tc>
          <w:tcPr>
            <w:tcW w:w="1704" w:type="dxa"/>
            <w:shd w:val="clear" w:color="auto" w:fill="E3F2D9" w:themeFill="accent4" w:themeFillTint="32"/>
          </w:tcPr>
          <w:p>
            <w:pPr>
              <w:numPr>
                <w:numId w:val="0"/>
              </w:numPr>
              <w:rPr>
                <w:rFonts w:hint="default"/>
                <w:vertAlign w:val="baseline"/>
                <w:lang w:val="en-US" w:eastAsia="zh-CN"/>
              </w:rPr>
            </w:pPr>
            <w:r>
              <w:rPr>
                <w:rFonts w:hint="eastAsia"/>
                <w:vertAlign w:val="baseline"/>
                <w:lang w:val="en-US" w:eastAsia="zh-CN"/>
              </w:rPr>
              <w:t>208</w:t>
            </w:r>
          </w:p>
        </w:tc>
        <w:tc>
          <w:tcPr>
            <w:tcW w:w="1705" w:type="dxa"/>
            <w:shd w:val="clear" w:color="auto" w:fill="E3F2D9" w:themeFill="accent4" w:themeFillTint="32"/>
          </w:tcPr>
          <w:p>
            <w:pPr>
              <w:numPr>
                <w:numId w:val="0"/>
              </w:numPr>
              <w:rPr>
                <w:rFonts w:hint="default"/>
                <w:vertAlign w:val="baseline"/>
                <w:lang w:val="en-US" w:eastAsia="zh-CN"/>
              </w:rPr>
            </w:pPr>
            <w:r>
              <w:rPr>
                <w:rFonts w:hint="eastAsia"/>
                <w:vertAlign w:val="baseline"/>
                <w:lang w:val="en-US" w:eastAsia="zh-CN"/>
              </w:rPr>
              <w:t>152</w:t>
            </w:r>
          </w:p>
        </w:tc>
        <w:tc>
          <w:tcPr>
            <w:tcW w:w="1705" w:type="dxa"/>
            <w:shd w:val="clear" w:color="auto" w:fill="E3F2D9" w:themeFill="accent4" w:themeFillTint="32"/>
          </w:tcPr>
          <w:p>
            <w:pPr>
              <w:numPr>
                <w:numId w:val="0"/>
              </w:numPr>
              <w:rPr>
                <w:rFonts w:hint="default"/>
                <w:vertAlign w:val="baseline"/>
                <w:lang w:val="en-US" w:eastAsia="zh-CN"/>
              </w:rPr>
            </w:pPr>
            <w:r>
              <w:rPr>
                <w:rFonts w:hint="eastAsia"/>
                <w:vertAlign w:val="baseline"/>
                <w:lang w:val="en-US" w:eastAsia="zh-CN"/>
              </w:rPr>
              <w:t>39</w:t>
            </w:r>
          </w:p>
        </w:tc>
      </w:tr>
    </w:tbl>
    <w:p>
      <w:pPr>
        <w:numPr>
          <w:numId w:val="0"/>
        </w:numPr>
        <w:ind w:firstLine="420" w:firstLineChars="200"/>
        <w:rPr>
          <w:rFonts w:hint="eastAsia"/>
          <w:lang w:val="en-US" w:eastAsia="zh-CN"/>
        </w:rPr>
      </w:pPr>
    </w:p>
    <w:p>
      <w:pPr>
        <w:numPr>
          <w:numId w:val="0"/>
        </w:numPr>
        <w:ind w:firstLine="420" w:firstLineChars="200"/>
        <w:rPr>
          <w:rFonts w:hint="default"/>
          <w:lang w:val="en-US" w:eastAsia="zh-CN"/>
        </w:rPr>
      </w:pPr>
      <w:r>
        <w:rPr>
          <w:rFonts w:hint="eastAsia"/>
          <w:lang w:val="en-US" w:eastAsia="zh-CN"/>
        </w:rPr>
        <w:t>将盛剑环境近四年各项指标数值与行业均值进行比对，并观察其排名变化情况（专用设备制造业，共399家）。</w:t>
      </w:r>
    </w:p>
    <w:p>
      <w:pPr>
        <w:numPr>
          <w:numId w:val="0"/>
        </w:numPr>
        <w:ind w:firstLine="420" w:firstLineChars="200"/>
        <w:rPr>
          <w:rFonts w:hint="default"/>
          <w:lang w:val="en-US" w:eastAsia="zh-CN"/>
        </w:rPr>
      </w:pPr>
      <w:r>
        <w:rPr>
          <w:rFonts w:hint="eastAsia"/>
          <w:lang w:val="en-US" w:eastAsia="zh-CN"/>
        </w:rPr>
        <w:t>盛剑环境净资产收益率从2020年-2022年出现不断下降，2023年出现较少回升，即其盈利能力出现了大幅下降后呈现回升趋势，但净资产收益率始终高于行业平均水平；总资产周转率、销售净利率、权益乘数的总体变化趋势与净资产收益率相同，其中仅销售净利率在2022年、2023年出现低于行业均值，权益乘数在2021年、2022年明显低于行业均值。</w:t>
      </w:r>
    </w:p>
    <w:p>
      <w:pPr>
        <w:numPr>
          <w:numId w:val="0"/>
        </w:numPr>
        <w:ind w:firstLine="420" w:firstLineChars="200"/>
        <w:rPr>
          <w:rFonts w:hint="eastAsia"/>
          <w:lang w:val="en-US" w:eastAsia="zh-CN"/>
        </w:rPr>
      </w:pP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69865" cy="6424930"/>
            <wp:effectExtent l="0" t="0" r="3175" b="6350"/>
            <wp:docPr id="1" name="图片 1" descr="603324-杜邦分析-2021年年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3324-杜邦分析-2021年年报"/>
                    <pic:cNvPicPr>
                      <a:picLocks noChangeAspect="1"/>
                    </pic:cNvPicPr>
                  </pic:nvPicPr>
                  <pic:blipFill>
                    <a:blip r:embed="rId4"/>
                    <a:stretch>
                      <a:fillRect/>
                    </a:stretch>
                  </pic:blipFill>
                  <pic:spPr>
                    <a:xfrm>
                      <a:off x="0" y="0"/>
                      <a:ext cx="5269865" cy="642493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2MzJhZDllMzY3MzFiYjIzZTcxZjlhYjM0M2NmMzMifQ=="/>
  </w:docVars>
  <w:rsids>
    <w:rsidRoot w:val="3FC25F00"/>
    <w:rsid w:val="14885D89"/>
    <w:rsid w:val="1D445BAD"/>
    <w:rsid w:val="213D7E0C"/>
    <w:rsid w:val="2C892158"/>
    <w:rsid w:val="2DDF3A78"/>
    <w:rsid w:val="314B3E80"/>
    <w:rsid w:val="3A2C2B3E"/>
    <w:rsid w:val="3FC25F00"/>
    <w:rsid w:val="4616577D"/>
    <w:rsid w:val="477257F5"/>
    <w:rsid w:val="4B6A40DE"/>
    <w:rsid w:val="504F0C4F"/>
    <w:rsid w:val="50EB180B"/>
    <w:rsid w:val="5D3A5D32"/>
    <w:rsid w:val="7BAC4AE8"/>
    <w:rsid w:val="7FE43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2024-04-21T07:56:00Z</dcterms:created>
  <dc:creator>wmy</dc:creator>
  <cp:lastModifiedBy>wmy</cp:lastModifiedBy>
  <dcterms:modified xsi:type="dcterms:W3CDTF">2024-04-21T13:52:48Z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6CF6DB137452465C9722AE317BE94945_11</vt:lpwstr>
  </property>
</Properties>
</file>