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color w:val="1F4E79"/>
        </w:rPr>
        <w:t>TC10 – Borrower Allocation Across Two Facilities</w:t>
      </w:r>
    </w:p>
    <w:p>
      <w:r>
        <w:rPr>
          <w:b/>
        </w:rPr>
        <w:t>Client Clarification Required</w:t>
      </w:r>
    </w:p>
    <w:p>
      <w:pPr>
        <w:pStyle w:val="Heading2"/>
      </w:pPr>
      <w:r>
        <w:rPr>
          <w:rFonts w:ascii="Arial" w:hAnsi="Arial"/>
          <w:color w:val="1F4E79"/>
        </w:rPr>
        <w:t>Purpose</w:t>
      </w:r>
    </w:p>
    <w:p>
      <w:r>
        <w:t>To clarify the borrower-related application details needed to complete the TC10 test scenario.</w:t>
      </w:r>
    </w:p>
    <w:p>
      <w:pPr>
        <w:pStyle w:val="Heading2"/>
      </w:pPr>
      <w:r>
        <w:rPr>
          <w:rFonts w:ascii="Arial" w:hAnsi="Arial"/>
          <w:color w:val="1F4E79"/>
        </w:rPr>
        <w:t>Scenario under review</w:t>
      </w:r>
    </w:p>
    <w:p>
      <w:r>
        <w:t>Allocate the same borrower to two facilities and verify that the borrower limits are maintained independently.</w:t>
      </w:r>
    </w:p>
    <w:p>
      <w:pPr>
        <w:pStyle w:val="Heading2"/>
      </w:pPr>
      <w:r>
        <w:rPr>
          <w:rFonts w:ascii="Arial" w:hAnsi="Arial"/>
          <w:color w:val="1F4E79"/>
        </w:rPr>
        <w:t>Expected test flow</w:t>
      </w:r>
    </w:p>
    <w:p>
      <w:pPr>
        <w:pStyle w:val="ListNumber"/>
      </w:pPr>
      <w:r>
        <w:t>Navigate to a deal with one borrower and two facilities.</w:t>
      </w:r>
    </w:p>
    <w:p>
      <w:pPr>
        <w:pStyle w:val="ListNumber"/>
      </w:pPr>
      <w:r>
        <w:t>Allocate Universal Borrower to Facility X.</w:t>
      </w:r>
    </w:p>
    <w:p>
      <w:pPr>
        <w:pStyle w:val="ListNumber"/>
      </w:pPr>
      <w:r>
        <w:t>Set the borrower limit to $300,000 and save.</w:t>
      </w:r>
    </w:p>
    <w:p>
      <w:pPr>
        <w:pStyle w:val="ListNumber"/>
      </w:pPr>
      <w:r>
        <w:t>Navigate to Facility Y and allocate Universal Borrower.</w:t>
      </w:r>
    </w:p>
    <w:p>
      <w:pPr>
        <w:pStyle w:val="ListNumber"/>
      </w:pPr>
      <w:r>
        <w:t>Verify that the borrower limit is empty or zero.</w:t>
      </w:r>
    </w:p>
    <w:p>
      <w:pPr>
        <w:pStyle w:val="ListNumber"/>
      </w:pPr>
      <w:r>
        <w:t>Set the borrower limit to $1,000,000 and save.</w:t>
      </w:r>
    </w:p>
    <w:p>
      <w:pPr>
        <w:pStyle w:val="ListNumber"/>
      </w:pPr>
      <w:r>
        <w:t>Navigate back to Facility X and verify that the borrower limit remains $300,000.</w:t>
      </w:r>
    </w:p>
    <w:p>
      <w:pPr>
        <w:pStyle w:val="Heading2"/>
      </w:pPr>
      <w:r>
        <w:rPr>
          <w:rFonts w:ascii="Arial" w:hAnsi="Arial"/>
          <w:color w:val="1F4E79"/>
        </w:rPr>
        <w:t>Items requiring clarification</w:t>
      </w:r>
    </w:p>
    <w:p>
      <w:r>
        <w:rPr>
          <w:b/>
          <w:color w:val="1F4E79"/>
        </w:rPr>
        <w:t>1. Universal Borrower option</w:t>
      </w:r>
    </w:p>
    <w:p>
      <w:pPr>
        <w:ind w:left="216"/>
      </w:pPr>
      <w:r>
        <w:t>Question: Where in the application can we set or select “Universal Borrower”? What steps should we follow to set a borrower as Universal Borrower?</w:t>
      </w:r>
    </w:p>
    <w:p>
      <w:r>
        <w:rPr>
          <w:b/>
          <w:color w:val="1F4E79"/>
        </w:rPr>
        <w:t>2. Borrower limit field location</w:t>
      </w:r>
    </w:p>
    <w:p>
      <w:pPr>
        <w:ind w:left="216"/>
      </w:pPr>
      <w:r>
        <w:t>Question: Where can the individual borrower's limit be viewed and edited after allocating the borrower to a facility?</w:t>
      </w:r>
    </w:p>
    <w:p>
      <w:r>
        <w:rPr>
          <w:b/>
          <w:color w:val="1F4E79"/>
        </w:rPr>
        <w:t>3. Borrower allocation across multiple facilities</w:t>
      </w:r>
    </w:p>
    <w:p>
      <w:pPr>
        <w:ind w:left="216"/>
      </w:pPr>
      <w:r>
        <w:t>Question: Can the same borrower be allocated independently to multiple facilities, with a separate limit for each facility?</w:t>
      </w:r>
    </w:p>
    <w:p>
      <w:pPr>
        <w:pStyle w:val="Heading2"/>
      </w:pPr>
      <w:r>
        <w:rPr>
          <w:rFonts w:ascii="Arial" w:hAnsi="Arial"/>
          <w:color w:val="1F4E79"/>
        </w:rPr>
        <w:t>Current status</w:t>
      </w:r>
    </w:p>
    <w:p>
      <w:r>
        <w:t>TC10 implementation is pending clarification of the borrower allocation option, borrower limit field location, and expected behavior when the same borrower is allocated to multiple facilities.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