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3B98" w14:textId="5630CF9C" w:rsidR="00FC691D" w:rsidRPr="00BB3A58" w:rsidRDefault="00FC691D" w:rsidP="00FC691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A58">
        <w:rPr>
          <w:rFonts w:ascii="Times New Roman" w:hAnsi="Times New Roman" w:cs="Times New Roman"/>
          <w:b/>
          <w:bCs/>
          <w:sz w:val="32"/>
          <w:szCs w:val="32"/>
        </w:rPr>
        <w:t>Week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05 </w:t>
      </w:r>
      <w:r w:rsidRPr="00BB3A58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3A58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7F39F814" w14:textId="77777777" w:rsidR="00FC691D" w:rsidRPr="00BB3A58" w:rsidRDefault="00FC691D" w:rsidP="00FC69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3A58">
        <w:rPr>
          <w:rFonts w:ascii="Times New Roman" w:hAnsi="Times New Roman" w:cs="Times New Roman"/>
          <w:sz w:val="28"/>
          <w:szCs w:val="28"/>
        </w:rPr>
        <w:t>Ruchen</w:t>
      </w:r>
      <w:proofErr w:type="spellEnd"/>
      <w:r w:rsidRPr="00BB3A58">
        <w:rPr>
          <w:rFonts w:ascii="Times New Roman" w:hAnsi="Times New Roman" w:cs="Times New Roman"/>
          <w:sz w:val="28"/>
          <w:szCs w:val="28"/>
        </w:rPr>
        <w:t xml:space="preserve"> Shi </w:t>
      </w:r>
      <w:r w:rsidRPr="00BB3A58">
        <w:rPr>
          <w:rFonts w:ascii="Times New Roman" w:hAnsi="Times New Roman" w:cs="Times New Roman"/>
          <w:sz w:val="28"/>
          <w:szCs w:val="28"/>
        </w:rPr>
        <w:br/>
      </w:r>
    </w:p>
    <w:p w14:paraId="19F55DCF" w14:textId="27D93F67" w:rsidR="009543CB" w:rsidRPr="002578A6" w:rsidRDefault="00FC691D" w:rsidP="002578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05A">
        <w:rPr>
          <w:rFonts w:ascii="Times New Roman" w:hAnsi="Times New Roman" w:cs="Times New Roman"/>
          <w:b/>
          <w:bCs/>
          <w:sz w:val="28"/>
          <w:szCs w:val="28"/>
        </w:rPr>
        <w:t>Problem1</w:t>
      </w:r>
    </w:p>
    <w:p w14:paraId="023B3C07" w14:textId="1E975A53" w:rsidR="00FC691D" w:rsidRDefault="00FC691D">
      <w:pPr>
        <w:rPr>
          <w:rFonts w:ascii="Times New Roman" w:hAnsi="Times New Roman" w:cs="Times New Roman"/>
        </w:rPr>
      </w:pPr>
      <w:r w:rsidRPr="00FC691D">
        <w:rPr>
          <w:rFonts w:ascii="Times New Roman" w:hAnsi="Times New Roman" w:cs="Times New Roman"/>
        </w:rPr>
        <w:t>There are 29 tests in total and all the tests are passed.</w:t>
      </w:r>
    </w:p>
    <w:p w14:paraId="26E50AD6" w14:textId="1991C742" w:rsidR="00C26B95" w:rsidRDefault="00C26B95">
      <w:pPr>
        <w:rPr>
          <w:rFonts w:ascii="Times New Roman" w:hAnsi="Times New Roman" w:cs="Times New Roman"/>
        </w:rPr>
      </w:pPr>
      <w:r w:rsidRPr="00C26B95">
        <w:rPr>
          <w:rFonts w:ascii="Times New Roman" w:hAnsi="Times New Roman" w:cs="Times New Roman"/>
          <w:noProof/>
        </w:rPr>
        <w:drawing>
          <wp:inline distT="0" distB="0" distL="0" distR="0" wp14:anchorId="0895EB99" wp14:editId="01F85E4C">
            <wp:extent cx="5943600" cy="782955"/>
            <wp:effectExtent l="0" t="0" r="0" b="4445"/>
            <wp:docPr id="1063134042" name="Picture 1" descr="A white line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4042" name="Picture 1" descr="A white line on a black su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9C5A" w14:textId="77777777" w:rsidR="00FC691D" w:rsidRDefault="00FC691D">
      <w:pPr>
        <w:rPr>
          <w:rFonts w:ascii="Times New Roman" w:hAnsi="Times New Roman" w:cs="Times New Roman"/>
        </w:rPr>
      </w:pPr>
    </w:p>
    <w:p w14:paraId="315BF5CF" w14:textId="77777777" w:rsidR="00FC691D" w:rsidRDefault="00FC691D">
      <w:pPr>
        <w:rPr>
          <w:rFonts w:ascii="Times New Roman" w:hAnsi="Times New Roman" w:cs="Times New Roman"/>
        </w:rPr>
      </w:pPr>
    </w:p>
    <w:p w14:paraId="7C51E39E" w14:textId="71898CA8" w:rsidR="00FC691D" w:rsidRDefault="00FC691D" w:rsidP="002578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05A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4F83545" w14:textId="085B925F" w:rsidR="002578A6" w:rsidRDefault="002578A6" w:rsidP="00C77588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The alpha is set to 0.05.</w:t>
      </w:r>
    </w:p>
    <w:p w14:paraId="1B33B120" w14:textId="54622A28" w:rsidR="00C77588" w:rsidRDefault="00C77588" w:rsidP="00C77588">
      <w:pPr>
        <w:rPr>
          <w:rFonts w:ascii="Times New Roman" w:hAnsi="Times New Roman" w:cs="Times New Roman"/>
        </w:rPr>
      </w:pPr>
      <w:r w:rsidRPr="00C77588">
        <w:rPr>
          <w:rFonts w:ascii="Times New Roman" w:hAnsi="Times New Roman" w:cs="Times New Roman"/>
        </w:rPr>
        <w:t>The result is as below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18"/>
        <w:gridCol w:w="2818"/>
        <w:gridCol w:w="2819"/>
      </w:tblGrid>
      <w:tr w:rsidR="00C77588" w14:paraId="37EF16E4" w14:textId="77777777" w:rsidTr="00C77588">
        <w:tc>
          <w:tcPr>
            <w:tcW w:w="895" w:type="dxa"/>
          </w:tcPr>
          <w:p w14:paraId="05B96AF9" w14:textId="7777777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14:paraId="35497646" w14:textId="185D3EDE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C77588">
              <w:rPr>
                <w:rFonts w:ascii="Times New Roman" w:hAnsi="Times New Roman" w:cs="Times New Roman"/>
              </w:rPr>
              <w:t>ormal distribution</w:t>
            </w:r>
          </w:p>
        </w:tc>
        <w:tc>
          <w:tcPr>
            <w:tcW w:w="2818" w:type="dxa"/>
          </w:tcPr>
          <w:p w14:paraId="5E4B2E86" w14:textId="2D0868BC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 w:rsidRPr="00C77588">
              <w:rPr>
                <w:rFonts w:ascii="Times New Roman" w:hAnsi="Times New Roman" w:cs="Times New Roman"/>
              </w:rPr>
              <w:t>MLE fitted 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7588">
              <w:rPr>
                <w:rFonts w:ascii="Times New Roman" w:hAnsi="Times New Roman" w:cs="Times New Roman"/>
              </w:rPr>
              <w:t>distribution</w:t>
            </w:r>
          </w:p>
        </w:tc>
        <w:tc>
          <w:tcPr>
            <w:tcW w:w="2819" w:type="dxa"/>
          </w:tcPr>
          <w:p w14:paraId="0544B562" w14:textId="116325D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 w:rsidRPr="00C77588">
              <w:rPr>
                <w:rFonts w:ascii="Times New Roman" w:hAnsi="Times New Roman" w:cs="Times New Roman"/>
              </w:rPr>
              <w:t>Historic Simulation</w:t>
            </w:r>
          </w:p>
        </w:tc>
      </w:tr>
      <w:tr w:rsidR="00C77588" w14:paraId="17890BFD" w14:textId="77777777" w:rsidTr="00C77588">
        <w:tc>
          <w:tcPr>
            <w:tcW w:w="895" w:type="dxa"/>
          </w:tcPr>
          <w:p w14:paraId="6A4DFBB2" w14:textId="725EEE2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</w:p>
        </w:tc>
        <w:tc>
          <w:tcPr>
            <w:tcW w:w="2818" w:type="dxa"/>
          </w:tcPr>
          <w:p w14:paraId="4CBDD7D2" w14:textId="6758B6B7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0.081335</w:t>
            </w:r>
          </w:p>
        </w:tc>
        <w:tc>
          <w:tcPr>
            <w:tcW w:w="2818" w:type="dxa"/>
          </w:tcPr>
          <w:p w14:paraId="2A0D6C4E" w14:textId="63718069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0.076475</w:t>
            </w:r>
          </w:p>
        </w:tc>
        <w:tc>
          <w:tcPr>
            <w:tcW w:w="2819" w:type="dxa"/>
          </w:tcPr>
          <w:p w14:paraId="6000BE15" w14:textId="688C42F8" w:rsidR="00C77588" w:rsidRDefault="002578A6" w:rsidP="002578A6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0.075862</w:t>
            </w:r>
          </w:p>
        </w:tc>
      </w:tr>
      <w:tr w:rsidR="00C77588" w14:paraId="451FBDA1" w14:textId="77777777" w:rsidTr="00C77588">
        <w:tc>
          <w:tcPr>
            <w:tcW w:w="895" w:type="dxa"/>
          </w:tcPr>
          <w:p w14:paraId="118AE1F6" w14:textId="31C0DE92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18" w:type="dxa"/>
          </w:tcPr>
          <w:p w14:paraId="180B5E68" w14:textId="1C89A93F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0.101774</w:t>
            </w:r>
          </w:p>
        </w:tc>
        <w:tc>
          <w:tcPr>
            <w:tcW w:w="2818" w:type="dxa"/>
          </w:tcPr>
          <w:p w14:paraId="07316C90" w14:textId="11840D6A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0.112017</w:t>
            </w:r>
          </w:p>
        </w:tc>
        <w:tc>
          <w:tcPr>
            <w:tcW w:w="2819" w:type="dxa"/>
          </w:tcPr>
          <w:p w14:paraId="0E1E8D4F" w14:textId="25FFE756" w:rsidR="00C77588" w:rsidRDefault="002578A6" w:rsidP="002578A6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0.115348</w:t>
            </w:r>
          </w:p>
        </w:tc>
      </w:tr>
    </w:tbl>
    <w:bookmarkEnd w:id="0"/>
    <w:bookmarkEnd w:id="1"/>
    <w:p w14:paraId="073E21D3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 xml:space="preserve">The historic simulation method for </w:t>
      </w:r>
      <w:proofErr w:type="spellStart"/>
      <w:r w:rsidRPr="00514642">
        <w:rPr>
          <w:rFonts w:ascii="Times New Roman" w:hAnsi="Times New Roman" w:cs="Times New Roman"/>
        </w:rPr>
        <w:t>VaR</w:t>
      </w:r>
      <w:proofErr w:type="spellEnd"/>
      <w:r w:rsidRPr="00514642">
        <w:rPr>
          <w:rFonts w:ascii="Times New Roman" w:hAnsi="Times New Roman" w:cs="Times New Roman"/>
        </w:rPr>
        <w:t xml:space="preserve">, which is based on actual historical returns, gives the smallest </w:t>
      </w:r>
      <w:proofErr w:type="spellStart"/>
      <w:r w:rsidRPr="00514642">
        <w:rPr>
          <w:rFonts w:ascii="Times New Roman" w:hAnsi="Times New Roman" w:cs="Times New Roman"/>
        </w:rPr>
        <w:t>VaR.</w:t>
      </w:r>
      <w:proofErr w:type="spellEnd"/>
      <w:r w:rsidRPr="00514642">
        <w:rPr>
          <w:rFonts w:ascii="Times New Roman" w:hAnsi="Times New Roman" w:cs="Times New Roman"/>
        </w:rPr>
        <w:t xml:space="preserve"> This suggests that the worst-case scenario in the historical data over the specified period is less extreme than what the normal distribution or the MLE fitted T distribution predict.</w:t>
      </w:r>
    </w:p>
    <w:p w14:paraId="75A444EF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 xml:space="preserve">For ES, the normal distribution gives the smallest estimate, which suggests that when losses exceed the </w:t>
      </w:r>
      <w:proofErr w:type="spellStart"/>
      <w:r w:rsidRPr="00514642">
        <w:rPr>
          <w:rFonts w:ascii="Times New Roman" w:hAnsi="Times New Roman" w:cs="Times New Roman"/>
        </w:rPr>
        <w:t>VaR</w:t>
      </w:r>
      <w:proofErr w:type="spellEnd"/>
      <w:r w:rsidRPr="00514642">
        <w:rPr>
          <w:rFonts w:ascii="Times New Roman" w:hAnsi="Times New Roman" w:cs="Times New Roman"/>
        </w:rPr>
        <w:t xml:space="preserve"> threshold, they are, on average, less severe under the normal distribution assumption than under the historic simulation or the T distribution.</w:t>
      </w:r>
    </w:p>
    <w:p w14:paraId="1B78C9A8" w14:textId="6C6FD94A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The differences can be attributed to how these distributions model tail risk:</w:t>
      </w:r>
    </w:p>
    <w:p w14:paraId="03DCF3AC" w14:textId="77777777" w:rsidR="00514642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A normal distribution assumes that returns are symmetrically distributed around the mean and has thinner tails, implying a lower likelihood of extreme outcomes compared to the T distribution.</w:t>
      </w:r>
    </w:p>
    <w:p w14:paraId="4E7CC575" w14:textId="77777777" w:rsidR="00514642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An MLE fitted T distribution can better accommodate the heavier tails often observed in financial return data, which can result in higher ES values as it accounts for the possibility of more severe losses.</w:t>
      </w:r>
    </w:p>
    <w:p w14:paraId="54E5AF66" w14:textId="23AFE748" w:rsidR="00C77588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The historic simulation does not assume a particular distribution and instead uses actual historical return data. If the historical data has experienced some extreme losses (heavier tails), this can lead to a higher ES when compared to the normal distribution assumption.</w:t>
      </w:r>
    </w:p>
    <w:p w14:paraId="44308951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</w:p>
    <w:p w14:paraId="5021D3FD" w14:textId="0BE4EBB5" w:rsidR="002578A6" w:rsidRDefault="002578A6" w:rsidP="00FC69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Problem3</w:t>
      </w:r>
    </w:p>
    <w:p w14:paraId="03D9EDBB" w14:textId="77777777" w:rsidR="00514642" w:rsidRDefault="00514642" w:rsidP="00514642">
      <w:pPr>
        <w:rPr>
          <w:rFonts w:ascii="Times New Roman" w:hAnsi="Times New Roman" w:cs="Times New Roman"/>
        </w:rPr>
      </w:pPr>
      <w:r w:rsidRPr="00C77588">
        <w:rPr>
          <w:rFonts w:ascii="Times New Roman" w:hAnsi="Times New Roman" w:cs="Times New Roman"/>
        </w:rPr>
        <w:t>The result is as below</w:t>
      </w:r>
      <w:r>
        <w:rPr>
          <w:rFonts w:ascii="Times New Roman" w:hAnsi="Times New Roman" w:cs="Times New Roman"/>
        </w:rPr>
        <w:t>:</w:t>
      </w:r>
    </w:p>
    <w:p w14:paraId="0D7F60D4" w14:textId="0F0AD8F6" w:rsidR="00C77588" w:rsidRDefault="00C26B95" w:rsidP="00FC69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B9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321954" wp14:editId="526EB38A">
            <wp:extent cx="1459363" cy="2808723"/>
            <wp:effectExtent l="0" t="0" r="1270" b="0"/>
            <wp:docPr id="69874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13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349" cy="28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324" w14:textId="7911B11B" w:rsidR="00C26B95" w:rsidRDefault="00C26B95" w:rsidP="00FC69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mpared to the Week04 assignment’s result, the result is smaller.</w:t>
      </w:r>
    </w:p>
    <w:p w14:paraId="30A001B2" w14:textId="55473466" w:rsidR="00756CF7" w:rsidRPr="00C26B95" w:rsidRDefault="00756CF7" w:rsidP="00FC69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potential reason may be c</w:t>
      </w:r>
      <w:r w:rsidRPr="00756CF7">
        <w:rPr>
          <w:rFonts w:ascii="Times New Roman" w:hAnsi="Times New Roman" w:cs="Times New Roman"/>
        </w:rPr>
        <w:t xml:space="preserve">opulas allow for more sophisticated modeling of the joint distribution of asset returns, particularly tail dependence. If assets are less correlated in the tails of their distributions, a copula model may show a smaller </w:t>
      </w:r>
      <w:proofErr w:type="spellStart"/>
      <w:r w:rsidRPr="00756CF7">
        <w:rPr>
          <w:rFonts w:ascii="Times New Roman" w:hAnsi="Times New Roman" w:cs="Times New Roman"/>
        </w:rPr>
        <w:t>VaR</w:t>
      </w:r>
      <w:proofErr w:type="spellEnd"/>
      <w:r w:rsidRPr="00756CF7">
        <w:rPr>
          <w:rFonts w:ascii="Times New Roman" w:hAnsi="Times New Roman" w:cs="Times New Roman"/>
        </w:rPr>
        <w:t xml:space="preserve"> since it can capture that lower extreme co-movement compared to models that assume a constant correlation</w:t>
      </w:r>
      <w:r>
        <w:rPr>
          <w:rFonts w:ascii="Times New Roman" w:hAnsi="Times New Roman" w:cs="Times New Roman"/>
        </w:rPr>
        <w:t>.</w:t>
      </w:r>
    </w:p>
    <w:p w14:paraId="6DEA68C4" w14:textId="77777777" w:rsidR="00FC691D" w:rsidRDefault="00FC691D">
      <w:pPr>
        <w:rPr>
          <w:rFonts w:ascii="Times New Roman" w:hAnsi="Times New Roman" w:cs="Times New Roman"/>
        </w:rPr>
      </w:pPr>
    </w:p>
    <w:p w14:paraId="0C4A5302" w14:textId="77777777" w:rsidR="00FC691D" w:rsidRDefault="00FC691D">
      <w:pPr>
        <w:rPr>
          <w:rFonts w:ascii="Times New Roman" w:hAnsi="Times New Roman" w:cs="Times New Roman"/>
        </w:rPr>
      </w:pPr>
    </w:p>
    <w:p w14:paraId="10B55113" w14:textId="77777777" w:rsidR="00FC691D" w:rsidRPr="00FC691D" w:rsidRDefault="00FC691D">
      <w:pPr>
        <w:rPr>
          <w:rFonts w:ascii="Times New Roman" w:hAnsi="Times New Roman" w:cs="Times New Roman"/>
        </w:rPr>
      </w:pPr>
    </w:p>
    <w:p w14:paraId="16A0B496" w14:textId="77777777" w:rsidR="00FC691D" w:rsidRDefault="00FC691D"/>
    <w:p w14:paraId="65B2BD83" w14:textId="1DBD1716" w:rsidR="00FC691D" w:rsidRDefault="00FC691D"/>
    <w:sectPr w:rsidR="00FC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0EFA"/>
    <w:multiLevelType w:val="hybridMultilevel"/>
    <w:tmpl w:val="7268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412A"/>
    <w:multiLevelType w:val="hybridMultilevel"/>
    <w:tmpl w:val="5DEA6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01815">
    <w:abstractNumId w:val="0"/>
  </w:num>
  <w:num w:numId="2" w16cid:durableId="208379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CB"/>
    <w:rsid w:val="002578A6"/>
    <w:rsid w:val="00514642"/>
    <w:rsid w:val="00756CF7"/>
    <w:rsid w:val="009543CB"/>
    <w:rsid w:val="00C26B95"/>
    <w:rsid w:val="00C77588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46A76"/>
  <w15:chartTrackingRefBased/>
  <w15:docId w15:val="{82CAD6E1-1FA3-D343-9D9B-0CB90E16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Shi</dc:creator>
  <cp:keywords/>
  <dc:description/>
  <cp:lastModifiedBy>Ruchen Shi</cp:lastModifiedBy>
  <cp:revision>4</cp:revision>
  <cp:lastPrinted>2024-03-08T17:47:00Z</cp:lastPrinted>
  <dcterms:created xsi:type="dcterms:W3CDTF">2024-03-08T17:47:00Z</dcterms:created>
  <dcterms:modified xsi:type="dcterms:W3CDTF">2024-03-08T20:36:00Z</dcterms:modified>
</cp:coreProperties>
</file>