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0"/>
        </w:rPr>
        <w:t>Strategic Plan for Integrating Machine Learning Technologies into Agribusiness Operations</w:t>
      </w:r>
    </w:p>
    <w:p>
      <w:pPr>
        <w:jc w:val="center"/>
      </w:pPr>
      <w:r>
        <w:rPr>
          <w:color w:val="465A69"/>
          <w:sz w:val="28"/>
        </w:rPr>
        <w:t>Strategic Planning and Research | Week 1</w:t>
      </w:r>
    </w:p>
    <w:p>
      <w:r>
        <w:br/>
      </w:r>
    </w:p>
    <w:p>
      <w:pPr>
        <w:jc w:val="center"/>
      </w:pPr>
      <w:r>
        <w:rPr>
          <w:b/>
          <w:sz w:val="32"/>
        </w:rPr>
        <w:t>Prepared by</w:t>
        <w:br/>
        <w:t>Ruchi Ambatkar</w:t>
      </w:r>
    </w:p>
    <w:p>
      <w:pPr>
        <w:spacing w:before="600"/>
        <w:jc w:val="center"/>
      </w:pPr>
      <w:r>
        <w:rPr>
          <w:sz w:val="20"/>
        </w:rPr>
        <w:t>Prepared: October 2026</w:t>
      </w:r>
    </w:p>
    <w:p>
      <w:r>
        <w:br w:type="page"/>
      </w:r>
    </w:p>
    <w:p>
      <w:pPr>
        <w:pStyle w:val="Heading1"/>
      </w:pPr>
      <w:r>
        <w:t>Executive Summary</w:t>
      </w:r>
    </w:p>
    <w:p>
      <w:r>
        <w:t>Agribusiness operates in an environment shaped by variable weather, soil differences, pests and diseases, input costs, market uncertainty, and the need to use natural resources responsibly. Machine learning (ML) can support better decisions by learning patterns from historical and current data. This strategic plan proposes a phased, 12-month programme for an agribusiness to pilot and evaluate ML-supported crop management, yield forecasting, pest-risk alerts, irrigation planning, and market/inventory decisions. The plan prioritizes a limited pilot before large-scale investment, farmer and agronomist involvement, reliable data, measurable business outcomes, and human review of high-impact recommendations.</w:t>
      </w:r>
    </w:p>
    <w:p>
      <w:r>
        <w:t>The proposed approach begins with business discovery and data readiness, then establishes a baseline, builds and validates a small set of models, tests recommendations in a controlled pilot, and scales only when evidence shows that benefits outweigh costs and risks. Suggested success measures include forecast error, alert usefulness, water and input use per hectare, adoption, operational cost, and farmer satisfaction. These are proposed metrics, not promised results. Evidence from the Microsoft–ICRISAT AI Sowing App illustrates how weather and historical crop data can support locally delivered sowing advice; reported pilot outcomes should be interpreted in their original context and not assumed to generalize to every crop or region.</w:t>
      </w:r>
    </w:p>
    <w:p>
      <w:pPr>
        <w:pStyle w:val="Heading1"/>
      </w:pPr>
      <w:r>
        <w:t>1. Background and Rationale</w:t>
      </w:r>
    </w:p>
    <w:p>
      <w:r>
        <w:t>Agricultural decisions are interdependent: the timing of sowing affects crop establishment; weather and soil conditions influence water and nutrient needs; pest pressure can change rapidly; and yield estimates influence procurement, storage, transport, and sales planning. Conventional judgement remains valuable, but it may be limited when information is incomplete or when conditions change quickly. ML can complement agronomic expertise by identifying patterns across weather, soil, satellite imagery, crop history, field observations, and market data.</w:t>
      </w:r>
    </w:p>
    <w:p>
      <w:r>
        <w:t>Recent literature reviews identify temperature, rainfall, soil type, and vegetation-related measures among common features for crop-yield prediction. Frequently used methods include linear regression, Random Forest, gradient boosting, neural networks, and time-series approaches. Model performance varies by crop, region, data quality, forecast horizon, and evaluation design; therefore, model selection should be empirical rather than based on claims that one algorithm is always best.</w:t>
      </w:r>
    </w:p>
    <w:p>
      <w:pPr>
        <w:pStyle w:val="Heading1"/>
      </w:pPr>
      <w:r>
        <w:t>2. Project Aim, Objectives and Scope</w:t>
      </w:r>
    </w:p>
    <w:p>
      <w:pPr>
        <w:pStyle w:val="Heading2"/>
      </w:pPr>
      <w:r>
        <w:t>2.1 Aim</w:t>
      </w:r>
    </w:p>
    <w:p>
      <w:r>
        <w:t>To design, pilot, and evaluate a practical ML decision-support programme that improves selected agribusiness decisions while managing technical, financial, operational, and ethical risks.</w:t>
      </w:r>
    </w:p>
    <w:p>
      <w:pPr>
        <w:pStyle w:val="Heading2"/>
      </w:pPr>
      <w:r>
        <w:t>2.2 SMART-style objectives</w:t>
      </w:r>
    </w:p>
    <w:p>
      <w:pPr>
        <w:pStyle w:val="ListBullet"/>
      </w:pPr>
      <w:r>
        <w:t>By the end of Month 2, document priority decisions, stakeholders, data owners, baseline measures, and pilot boundaries.</w:t>
      </w:r>
    </w:p>
    <w:p>
      <w:pPr>
        <w:pStyle w:val="ListBullet"/>
      </w:pPr>
      <w:r>
        <w:t>By the end of Month 3, complete a data-readiness assessment covering availability, completeness, consistency, access, consent, and quality.</w:t>
      </w:r>
    </w:p>
    <w:p>
      <w:pPr>
        <w:pStyle w:val="ListBullet"/>
      </w:pPr>
      <w:r>
        <w:t>By the end of Month 6, build and validate at least one baseline yield-forecast model and one crop-risk or irrigation-support prototype, if data suitability is confirmed.</w:t>
      </w:r>
    </w:p>
    <w:p>
      <w:pPr>
        <w:pStyle w:val="ListBullet"/>
      </w:pPr>
      <w:r>
        <w:t>By the end of Month 8, run a pilot with agronomist oversight and documented user feedback in a clearly defined crop/region or operational unit.</w:t>
      </w:r>
    </w:p>
    <w:p>
      <w:pPr>
        <w:pStyle w:val="ListBullet"/>
      </w:pPr>
      <w:r>
        <w:t>By Month 10, compare pilot results with the baseline or a suitable comparison group and document uncertainty, costs, and limitations.</w:t>
      </w:r>
    </w:p>
    <w:p>
      <w:pPr>
        <w:pStyle w:val="ListBullet"/>
      </w:pPr>
      <w:r>
        <w:t>By Month 12, present a scale, revise, or stop recommendation supported by measured performance, total cost, user adoption, and risk review.</w:t>
      </w:r>
    </w:p>
    <w:p>
      <w:pPr>
        <w:pStyle w:val="Heading2"/>
      </w:pPr>
      <w:r>
        <w:t>2.3 In scope</w:t>
      </w:r>
    </w:p>
    <w:p>
      <w:pPr>
        <w:pStyle w:val="ListBullet"/>
      </w:pPr>
      <w:r>
        <w:t>Crop yield forecasting for selected crops and locations.</w:t>
      </w:r>
    </w:p>
    <w:p>
      <w:pPr>
        <w:pStyle w:val="ListBullet"/>
      </w:pPr>
      <w:r>
        <w:t>Weather-informed sowing and crop-stage advisories.</w:t>
      </w:r>
    </w:p>
    <w:p>
      <w:pPr>
        <w:pStyle w:val="ListBullet"/>
      </w:pPr>
      <w:r>
        <w:t>Pest/disease risk alerts using available field, weather, or image data.</w:t>
      </w:r>
    </w:p>
    <w:p>
      <w:pPr>
        <w:pStyle w:val="ListBullet"/>
      </w:pPr>
      <w:r>
        <w:t>Irrigation and input-use decision support where reliable measurements exist.</w:t>
      </w:r>
    </w:p>
    <w:p>
      <w:pPr>
        <w:pStyle w:val="ListBullet"/>
      </w:pPr>
      <w:r>
        <w:t>Agribusiness planning: procurement, storage, logistics, and inventory forecasting.</w:t>
      </w:r>
    </w:p>
    <w:p>
      <w:pPr>
        <w:pStyle w:val="ListBullet"/>
      </w:pPr>
      <w:r>
        <w:t>A dashboard or simple SMS/mobile workflow that communicates understandable recommendations.</w:t>
      </w:r>
    </w:p>
    <w:p>
      <w:pPr>
        <w:pStyle w:val="Heading2"/>
      </w:pPr>
      <w:r>
        <w:t>2.4 Out of scope for the first year</w:t>
      </w:r>
    </w:p>
    <w:p>
      <w:pPr>
        <w:pStyle w:val="ListBullet"/>
      </w:pPr>
      <w:r>
        <w:t>Fully autonomous decisions that apply chemicals, alter irrigation, or make financial commitments without human approval.</w:t>
      </w:r>
    </w:p>
    <w:p>
      <w:pPr>
        <w:pStyle w:val="ListBullet"/>
      </w:pPr>
      <w:r>
        <w:t>A universal model intended to work for every crop, region, soil type, and season from the start.</w:t>
      </w:r>
    </w:p>
    <w:p>
      <w:pPr>
        <w:pStyle w:val="ListBullet"/>
      </w:pPr>
      <w:r>
        <w:t>Replacing agronomists, farmer judgement, or official agricultural advice.</w:t>
      </w:r>
    </w:p>
    <w:p>
      <w:pPr>
        <w:pStyle w:val="ListBullet"/>
      </w:pPr>
      <w:r>
        <w:t>Large-scale deployment before pilot evaluation, privacy review, and operating-cost assessment.</w:t>
      </w:r>
    </w:p>
    <w:p>
      <w:pPr>
        <w:pStyle w:val="Heading1"/>
      </w:pPr>
      <w:r>
        <w:t>3. Business Problems and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6"/>
              </w:rPr>
              <w:t>Stakeholder</w:t>
            </w:r>
          </w:p>
        </w:tc>
        <w:tc>
          <w:tcPr>
            <w:tcW w:type="dxa" w:w="3360"/>
            <w:vAlign w:val="center"/>
            <w:shd w:fill="D9EAF7"/>
          </w:tcPr>
          <w:p>
            <w:pPr>
              <w:spacing w:after="0"/>
            </w:pPr>
            <w:r/>
            <w:r>
              <w:rPr>
                <w:b/>
                <w:sz w:val="16"/>
              </w:rPr>
              <w:t>Needs / decisions</w:t>
            </w:r>
          </w:p>
        </w:tc>
        <w:tc>
          <w:tcPr>
            <w:tcW w:type="dxa" w:w="3360"/>
            <w:vAlign w:val="center"/>
            <w:shd w:fill="D9EAF7"/>
          </w:tcPr>
          <w:p>
            <w:pPr>
              <w:spacing w:after="0"/>
            </w:pPr>
            <w:r/>
            <w:r>
              <w:rPr>
                <w:b/>
                <w:sz w:val="16"/>
              </w:rPr>
              <w:t>Engagement approach</w:t>
            </w:r>
          </w:p>
        </w:tc>
      </w:tr>
      <w:tr>
        <w:tc>
          <w:tcPr>
            <w:tcW w:type="dxa" w:w="3360"/>
            <w:vAlign w:val="center"/>
          </w:tcPr>
          <w:p>
            <w:pPr>
              <w:spacing w:after="0"/>
            </w:pPr>
            <w:r/>
            <w:r>
              <w:rPr>
                <w:b w:val="0"/>
                <w:sz w:val="16"/>
              </w:rPr>
              <w:t>Farmers / field operators</w:t>
            </w:r>
          </w:p>
        </w:tc>
        <w:tc>
          <w:tcPr>
            <w:tcW w:type="dxa" w:w="3360"/>
            <w:vAlign w:val="center"/>
          </w:tcPr>
          <w:p>
            <w:pPr>
              <w:spacing w:after="0"/>
            </w:pPr>
            <w:r/>
            <w:r>
              <w:rPr>
                <w:b w:val="0"/>
                <w:sz w:val="16"/>
              </w:rPr>
              <w:t>Timely, understandable advice; affordable use; practical actions</w:t>
            </w:r>
          </w:p>
        </w:tc>
        <w:tc>
          <w:tcPr>
            <w:tcW w:type="dxa" w:w="3360"/>
            <w:vAlign w:val="center"/>
          </w:tcPr>
          <w:p>
            <w:pPr>
              <w:spacing w:after="0"/>
            </w:pPr>
            <w:r/>
            <w:r>
              <w:rPr>
                <w:b w:val="0"/>
                <w:sz w:val="16"/>
              </w:rPr>
              <w:t>Co-design interviews, demonstrations, local-language messages, feedback channel</w:t>
            </w:r>
          </w:p>
        </w:tc>
      </w:tr>
      <w:tr>
        <w:tc>
          <w:tcPr>
            <w:tcW w:type="dxa" w:w="3360"/>
            <w:vAlign w:val="center"/>
          </w:tcPr>
          <w:p>
            <w:pPr>
              <w:spacing w:after="0"/>
            </w:pPr>
            <w:r/>
            <w:r>
              <w:rPr>
                <w:b w:val="0"/>
                <w:sz w:val="16"/>
              </w:rPr>
              <w:t>Agronomists / extension staff</w:t>
            </w:r>
          </w:p>
        </w:tc>
        <w:tc>
          <w:tcPr>
            <w:tcW w:type="dxa" w:w="3360"/>
            <w:vAlign w:val="center"/>
          </w:tcPr>
          <w:p>
            <w:pPr>
              <w:spacing w:after="0"/>
            </w:pPr>
            <w:r/>
            <w:r>
              <w:rPr>
                <w:b w:val="0"/>
                <w:sz w:val="16"/>
              </w:rPr>
              <w:t>Evidence, crop-specific context, explainable alerts</w:t>
            </w:r>
          </w:p>
        </w:tc>
        <w:tc>
          <w:tcPr>
            <w:tcW w:type="dxa" w:w="3360"/>
            <w:vAlign w:val="center"/>
          </w:tcPr>
          <w:p>
            <w:pPr>
              <w:spacing w:after="0"/>
            </w:pPr>
            <w:r/>
            <w:r>
              <w:rPr>
                <w:b w:val="0"/>
                <w:sz w:val="16"/>
              </w:rPr>
              <w:t>Review rules, validate recommendations, investigate false alarms</w:t>
            </w:r>
          </w:p>
        </w:tc>
      </w:tr>
      <w:tr>
        <w:tc>
          <w:tcPr>
            <w:tcW w:type="dxa" w:w="3360"/>
            <w:vAlign w:val="center"/>
          </w:tcPr>
          <w:p>
            <w:pPr>
              <w:spacing w:after="0"/>
            </w:pPr>
            <w:r/>
            <w:r>
              <w:rPr>
                <w:b w:val="0"/>
                <w:sz w:val="16"/>
              </w:rPr>
              <w:t>Operations / procurement</w:t>
            </w:r>
          </w:p>
        </w:tc>
        <w:tc>
          <w:tcPr>
            <w:tcW w:type="dxa" w:w="3360"/>
            <w:vAlign w:val="center"/>
          </w:tcPr>
          <w:p>
            <w:pPr>
              <w:spacing w:after="0"/>
            </w:pPr>
            <w:r/>
            <w:r>
              <w:rPr>
                <w:b w:val="0"/>
                <w:sz w:val="16"/>
              </w:rPr>
              <w:t>Reliable volume forecasts, inventory and transport planning</w:t>
            </w:r>
          </w:p>
        </w:tc>
        <w:tc>
          <w:tcPr>
            <w:tcW w:type="dxa" w:w="3360"/>
            <w:vAlign w:val="center"/>
          </w:tcPr>
          <w:p>
            <w:pPr>
              <w:spacing w:after="0"/>
            </w:pPr>
            <w:r/>
            <w:r>
              <w:rPr>
                <w:b w:val="0"/>
                <w:sz w:val="16"/>
              </w:rPr>
              <w:t>Define planning horizon, service levels, cost measures</w:t>
            </w:r>
          </w:p>
        </w:tc>
      </w:tr>
      <w:tr>
        <w:tc>
          <w:tcPr>
            <w:tcW w:type="dxa" w:w="3360"/>
            <w:vAlign w:val="center"/>
          </w:tcPr>
          <w:p>
            <w:pPr>
              <w:spacing w:after="0"/>
            </w:pPr>
            <w:r/>
            <w:r>
              <w:rPr>
                <w:b w:val="0"/>
                <w:sz w:val="16"/>
              </w:rPr>
              <w:t>Data / IT team</w:t>
            </w:r>
          </w:p>
        </w:tc>
        <w:tc>
          <w:tcPr>
            <w:tcW w:type="dxa" w:w="3360"/>
            <w:vAlign w:val="center"/>
          </w:tcPr>
          <w:p>
            <w:pPr>
              <w:spacing w:after="0"/>
            </w:pPr>
            <w:r/>
            <w:r>
              <w:rPr>
                <w:b w:val="0"/>
                <w:sz w:val="16"/>
              </w:rPr>
              <w:t>Secure data pipelines, model monitoring, integration</w:t>
            </w:r>
          </w:p>
        </w:tc>
        <w:tc>
          <w:tcPr>
            <w:tcW w:type="dxa" w:w="3360"/>
            <w:vAlign w:val="center"/>
          </w:tcPr>
          <w:p>
            <w:pPr>
              <w:spacing w:after="0"/>
            </w:pPr>
            <w:r/>
            <w:r>
              <w:rPr>
                <w:b w:val="0"/>
                <w:sz w:val="16"/>
              </w:rPr>
              <w:t>Data inventory, access controls, documented workflows</w:t>
            </w:r>
          </w:p>
        </w:tc>
      </w:tr>
      <w:tr>
        <w:tc>
          <w:tcPr>
            <w:tcW w:type="dxa" w:w="3360"/>
            <w:vAlign w:val="center"/>
          </w:tcPr>
          <w:p>
            <w:pPr>
              <w:spacing w:after="0"/>
            </w:pPr>
            <w:r/>
            <w:r>
              <w:rPr>
                <w:b w:val="0"/>
                <w:sz w:val="16"/>
              </w:rPr>
              <w:t>Management / finance</w:t>
            </w:r>
          </w:p>
        </w:tc>
        <w:tc>
          <w:tcPr>
            <w:tcW w:type="dxa" w:w="3360"/>
            <w:vAlign w:val="center"/>
          </w:tcPr>
          <w:p>
            <w:pPr>
              <w:spacing w:after="0"/>
            </w:pPr>
            <w:r/>
            <w:r>
              <w:rPr>
                <w:b w:val="0"/>
                <w:sz w:val="16"/>
              </w:rPr>
              <w:t>Return on investment, cost control, risk visibility</w:t>
            </w:r>
          </w:p>
        </w:tc>
        <w:tc>
          <w:tcPr>
            <w:tcW w:type="dxa" w:w="3360"/>
            <w:vAlign w:val="center"/>
          </w:tcPr>
          <w:p>
            <w:pPr>
              <w:spacing w:after="0"/>
            </w:pPr>
            <w:r/>
            <w:r>
              <w:rPr>
                <w:b w:val="0"/>
                <w:sz w:val="16"/>
              </w:rPr>
              <w:t>Stage-gate approvals and quarterly review</w:t>
            </w:r>
          </w:p>
        </w:tc>
      </w:tr>
      <w:tr>
        <w:tc>
          <w:tcPr>
            <w:tcW w:type="dxa" w:w="3360"/>
            <w:vAlign w:val="center"/>
          </w:tcPr>
          <w:p>
            <w:pPr>
              <w:spacing w:after="0"/>
            </w:pPr>
            <w:r/>
            <w:r>
              <w:rPr>
                <w:b w:val="0"/>
                <w:sz w:val="16"/>
              </w:rPr>
              <w:t>Data providers / partners</w:t>
            </w:r>
          </w:p>
        </w:tc>
        <w:tc>
          <w:tcPr>
            <w:tcW w:type="dxa" w:w="3360"/>
            <w:vAlign w:val="center"/>
          </w:tcPr>
          <w:p>
            <w:pPr>
              <w:spacing w:after="0"/>
            </w:pPr>
            <w:r/>
            <w:r>
              <w:rPr>
                <w:b w:val="0"/>
                <w:sz w:val="16"/>
              </w:rPr>
              <w:t>Clear permitted use and responsibilities</w:t>
            </w:r>
          </w:p>
        </w:tc>
        <w:tc>
          <w:tcPr>
            <w:tcW w:type="dxa" w:w="3360"/>
            <w:vAlign w:val="center"/>
          </w:tcPr>
          <w:p>
            <w:pPr>
              <w:spacing w:after="0"/>
            </w:pPr>
            <w:r/>
            <w:r>
              <w:rPr>
                <w:b w:val="0"/>
                <w:sz w:val="16"/>
              </w:rPr>
              <w:t>Written agreements, source tracking, service-level expectations</w:t>
            </w:r>
          </w:p>
        </w:tc>
      </w:tr>
    </w:tbl>
    <w:p/>
    <w:p>
      <w:pPr>
        <w:pStyle w:val="Heading1"/>
      </w:pPr>
      <w:r>
        <w:t>4. Research Findings and Current ML Trends</w:t>
      </w:r>
    </w:p>
    <w:p>
      <w:r>
        <w:t>The research points to several practical directions. First, predictive analytics combines weather, soil, crop history, and vegetation indicators to estimate yield and risk. Second, satellite and remote-sensing data can help monitor crop condition over large areas, though cloud cover, resolution, and local calibration matter. Third, computer vision can support crop and disease observations from images, but image models require representative images and human checks. Fourth, time-series models can analyze weather and seasonal patterns. Fifth, decision-support tools are increasingly delivered through familiar channels such as mobile applications, SMS, voice, or local-language assistants, rather than requiring every farmer to own advanced equipment. Finally, responsible implementation requires data governance, privacy safeguards, explainability, monitoring, and inclusive access.</w:t>
      </w:r>
    </w:p>
    <w:p>
      <w:r>
        <w:t>A 2025 systematic review of crop-yield prediction research examined studies published from 2017 to 2024 and identified temperature, soil type, and vegetation as common input features. Linear Regression, Random Forest, and Gradient Boosting Trees were frequently used, while CNN and LSTM approaches appeared in deep-learning work. RMSE, MAE, and R-squared were commonly used evaluation metrics. This supports comparing a simple baseline with more complex methods using held-out season/location data, rather than choosing a model only because it is fashionable.</w:t>
      </w:r>
    </w:p>
    <w:p>
      <w:pPr>
        <w:pStyle w:val="Heading1"/>
      </w:pPr>
      <w:r>
        <w:t>5. Proposed ML Use Cases and Technical Strategy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b/>
                <w:sz w:val="14"/>
              </w:rPr>
              <w:t>Use case</w:t>
            </w:r>
          </w:p>
        </w:tc>
        <w:tc>
          <w:tcPr>
            <w:tcW w:type="dxa" w:w="2016"/>
            <w:vAlign w:val="center"/>
            <w:shd w:fill="D9EAF7"/>
          </w:tcPr>
          <w:p>
            <w:pPr>
              <w:spacing w:after="0"/>
            </w:pPr>
            <w:r/>
            <w:r>
              <w:rPr>
                <w:b/>
                <w:sz w:val="14"/>
              </w:rPr>
              <w:t>Possible data</w:t>
            </w:r>
          </w:p>
        </w:tc>
        <w:tc>
          <w:tcPr>
            <w:tcW w:type="dxa" w:w="2016"/>
            <w:vAlign w:val="center"/>
            <w:shd w:fill="D9EAF7"/>
          </w:tcPr>
          <w:p>
            <w:pPr>
              <w:spacing w:after="0"/>
            </w:pPr>
            <w:r/>
            <w:r>
              <w:rPr>
                <w:b/>
                <w:sz w:val="14"/>
              </w:rPr>
              <w:t>Candidate methods</w:t>
            </w:r>
          </w:p>
        </w:tc>
        <w:tc>
          <w:tcPr>
            <w:tcW w:type="dxa" w:w="2016"/>
            <w:vAlign w:val="center"/>
            <w:shd w:fill="D9EAF7"/>
          </w:tcPr>
          <w:p>
            <w:pPr>
              <w:spacing w:after="0"/>
            </w:pPr>
            <w:r/>
            <w:r>
              <w:rPr>
                <w:b/>
                <w:sz w:val="14"/>
              </w:rPr>
              <w:t>Decision supported</w:t>
            </w:r>
          </w:p>
        </w:tc>
        <w:tc>
          <w:tcPr>
            <w:tcW w:type="dxa" w:w="2016"/>
            <w:vAlign w:val="center"/>
            <w:shd w:fill="D9EAF7"/>
          </w:tcPr>
          <w:p>
            <w:pPr>
              <w:spacing w:after="0"/>
            </w:pPr>
            <w:r/>
            <w:r>
              <w:rPr>
                <w:b/>
                <w:sz w:val="14"/>
              </w:rPr>
              <w:t>Key evaluation</w:t>
            </w:r>
          </w:p>
        </w:tc>
      </w:tr>
      <w:tr>
        <w:tc>
          <w:tcPr>
            <w:tcW w:type="dxa" w:w="2016"/>
            <w:vAlign w:val="center"/>
          </w:tcPr>
          <w:p>
            <w:pPr>
              <w:spacing w:after="0"/>
            </w:pPr>
            <w:r/>
            <w:r>
              <w:rPr>
                <w:b w:val="0"/>
                <w:sz w:val="14"/>
              </w:rPr>
              <w:t>Yield forecasting</w:t>
            </w:r>
          </w:p>
        </w:tc>
        <w:tc>
          <w:tcPr>
            <w:tcW w:type="dxa" w:w="2016"/>
            <w:vAlign w:val="center"/>
          </w:tcPr>
          <w:p>
            <w:pPr>
              <w:spacing w:after="0"/>
            </w:pPr>
            <w:r/>
            <w:r>
              <w:rPr>
                <w:b w:val="0"/>
                <w:sz w:val="14"/>
              </w:rPr>
              <w:t>Historical yield, crop, rainfall, temperature, soil, sowing date, vegetation indices</w:t>
            </w:r>
          </w:p>
        </w:tc>
        <w:tc>
          <w:tcPr>
            <w:tcW w:type="dxa" w:w="2016"/>
            <w:vAlign w:val="center"/>
          </w:tcPr>
          <w:p>
            <w:pPr>
              <w:spacing w:after="0"/>
            </w:pPr>
            <w:r/>
            <w:r>
              <w:rPr>
                <w:b w:val="0"/>
                <w:sz w:val="14"/>
              </w:rPr>
              <w:t>Mean/linear baseline; Random Forest; gradient boosting</w:t>
            </w:r>
          </w:p>
        </w:tc>
        <w:tc>
          <w:tcPr>
            <w:tcW w:type="dxa" w:w="2016"/>
            <w:vAlign w:val="center"/>
          </w:tcPr>
          <w:p>
            <w:pPr>
              <w:spacing w:after="0"/>
            </w:pPr>
            <w:r/>
            <w:r>
              <w:rPr>
                <w:b w:val="0"/>
                <w:sz w:val="14"/>
              </w:rPr>
              <w:t>Procurement, storage, sales, input planning</w:t>
            </w:r>
          </w:p>
        </w:tc>
        <w:tc>
          <w:tcPr>
            <w:tcW w:type="dxa" w:w="2016"/>
            <w:vAlign w:val="center"/>
          </w:tcPr>
          <w:p>
            <w:pPr>
              <w:spacing w:after="0"/>
            </w:pPr>
            <w:r/>
            <w:r>
              <w:rPr>
                <w:b w:val="0"/>
                <w:sz w:val="14"/>
              </w:rPr>
              <w:t>MAE/RMSE, bias by crop/location, forecast lead time</w:t>
            </w:r>
          </w:p>
        </w:tc>
      </w:tr>
      <w:tr>
        <w:tc>
          <w:tcPr>
            <w:tcW w:type="dxa" w:w="2016"/>
            <w:vAlign w:val="center"/>
          </w:tcPr>
          <w:p>
            <w:pPr>
              <w:spacing w:after="0"/>
            </w:pPr>
            <w:r/>
            <w:r>
              <w:rPr>
                <w:b w:val="0"/>
                <w:sz w:val="14"/>
              </w:rPr>
              <w:t>Sowing window advisory</w:t>
            </w:r>
          </w:p>
        </w:tc>
        <w:tc>
          <w:tcPr>
            <w:tcW w:type="dxa" w:w="2016"/>
            <w:vAlign w:val="center"/>
          </w:tcPr>
          <w:p>
            <w:pPr>
              <w:spacing w:after="0"/>
            </w:pPr>
            <w:r/>
            <w:r>
              <w:rPr>
                <w:b w:val="0"/>
                <w:sz w:val="14"/>
              </w:rPr>
              <w:t>Historical weather, forecast rainfall, crop calendar, soil moisture where available</w:t>
            </w:r>
          </w:p>
        </w:tc>
        <w:tc>
          <w:tcPr>
            <w:tcW w:type="dxa" w:w="2016"/>
            <w:vAlign w:val="center"/>
          </w:tcPr>
          <w:p>
            <w:pPr>
              <w:spacing w:after="0"/>
            </w:pPr>
            <w:r/>
            <w:r>
              <w:rPr>
                <w:b w:val="0"/>
                <w:sz w:val="14"/>
              </w:rPr>
              <w:t>Rules plus time-series/predictive model</w:t>
            </w:r>
          </w:p>
        </w:tc>
        <w:tc>
          <w:tcPr>
            <w:tcW w:type="dxa" w:w="2016"/>
            <w:vAlign w:val="center"/>
          </w:tcPr>
          <w:p>
            <w:pPr>
              <w:spacing w:after="0"/>
            </w:pPr>
            <w:r/>
            <w:r>
              <w:rPr>
                <w:b w:val="0"/>
                <w:sz w:val="14"/>
              </w:rPr>
              <w:t>When to sow and prepare land</w:t>
            </w:r>
          </w:p>
        </w:tc>
        <w:tc>
          <w:tcPr>
            <w:tcW w:type="dxa" w:w="2016"/>
            <w:vAlign w:val="center"/>
          </w:tcPr>
          <w:p>
            <w:pPr>
              <w:spacing w:after="0"/>
            </w:pPr>
            <w:r/>
            <w:r>
              <w:rPr>
                <w:b w:val="0"/>
                <w:sz w:val="14"/>
              </w:rPr>
              <w:t>Advisory timeliness, adoption, outcome comparison</w:t>
            </w:r>
          </w:p>
        </w:tc>
      </w:tr>
      <w:tr>
        <w:tc>
          <w:tcPr>
            <w:tcW w:type="dxa" w:w="2016"/>
            <w:vAlign w:val="center"/>
          </w:tcPr>
          <w:p>
            <w:pPr>
              <w:spacing w:after="0"/>
            </w:pPr>
            <w:r/>
            <w:r>
              <w:rPr>
                <w:b w:val="0"/>
                <w:sz w:val="14"/>
              </w:rPr>
              <w:t>Pest/disease risk</w:t>
            </w:r>
          </w:p>
        </w:tc>
        <w:tc>
          <w:tcPr>
            <w:tcW w:type="dxa" w:w="2016"/>
            <w:vAlign w:val="center"/>
          </w:tcPr>
          <w:p>
            <w:pPr>
              <w:spacing w:after="0"/>
            </w:pPr>
            <w:r/>
            <w:r>
              <w:rPr>
                <w:b w:val="0"/>
                <w:sz w:val="14"/>
              </w:rPr>
              <w:t>Weather, crop stage, scouting observations, confirmed cases, optional field images</w:t>
            </w:r>
          </w:p>
        </w:tc>
        <w:tc>
          <w:tcPr>
            <w:tcW w:type="dxa" w:w="2016"/>
            <w:vAlign w:val="center"/>
          </w:tcPr>
          <w:p>
            <w:pPr>
              <w:spacing w:after="0"/>
            </w:pPr>
            <w:r/>
            <w:r>
              <w:rPr>
                <w:b w:val="0"/>
                <w:sz w:val="14"/>
              </w:rPr>
              <w:t>Classification model; image model only if sufficient labelled images</w:t>
            </w:r>
          </w:p>
        </w:tc>
        <w:tc>
          <w:tcPr>
            <w:tcW w:type="dxa" w:w="2016"/>
            <w:vAlign w:val="center"/>
          </w:tcPr>
          <w:p>
            <w:pPr>
              <w:spacing w:after="0"/>
            </w:pPr>
            <w:r/>
            <w:r>
              <w:rPr>
                <w:b w:val="0"/>
                <w:sz w:val="14"/>
              </w:rPr>
              <w:t>When to inspect and seek expert advice</w:t>
            </w:r>
          </w:p>
        </w:tc>
        <w:tc>
          <w:tcPr>
            <w:tcW w:type="dxa" w:w="2016"/>
            <w:vAlign w:val="center"/>
          </w:tcPr>
          <w:p>
            <w:pPr>
              <w:spacing w:after="0"/>
            </w:pPr>
            <w:r/>
            <w:r>
              <w:rPr>
                <w:b w:val="0"/>
                <w:sz w:val="14"/>
              </w:rPr>
              <w:t>Precision, recall, false-alert rate, response time</w:t>
            </w:r>
          </w:p>
        </w:tc>
      </w:tr>
      <w:tr>
        <w:tc>
          <w:tcPr>
            <w:tcW w:type="dxa" w:w="2016"/>
            <w:vAlign w:val="center"/>
          </w:tcPr>
          <w:p>
            <w:pPr>
              <w:spacing w:after="0"/>
            </w:pPr>
            <w:r/>
            <w:r>
              <w:rPr>
                <w:b w:val="0"/>
                <w:sz w:val="14"/>
              </w:rPr>
              <w:t>Irrigation support</w:t>
            </w:r>
          </w:p>
        </w:tc>
        <w:tc>
          <w:tcPr>
            <w:tcW w:type="dxa" w:w="2016"/>
            <w:vAlign w:val="center"/>
          </w:tcPr>
          <w:p>
            <w:pPr>
              <w:spacing w:after="0"/>
            </w:pPr>
            <w:r/>
            <w:r>
              <w:rPr>
                <w:b w:val="0"/>
                <w:sz w:val="14"/>
              </w:rPr>
              <w:t>Rainfall, soil moisture, crop stage, evapotranspiration estimates, irrigation logs</w:t>
            </w:r>
          </w:p>
        </w:tc>
        <w:tc>
          <w:tcPr>
            <w:tcW w:type="dxa" w:w="2016"/>
            <w:vAlign w:val="center"/>
          </w:tcPr>
          <w:p>
            <w:pPr>
              <w:spacing w:after="0"/>
            </w:pPr>
            <w:r/>
            <w:r>
              <w:rPr>
                <w:b w:val="0"/>
                <w:sz w:val="14"/>
              </w:rPr>
              <w:t>Water-balance rules plus regression/time-series</w:t>
            </w:r>
          </w:p>
        </w:tc>
        <w:tc>
          <w:tcPr>
            <w:tcW w:type="dxa" w:w="2016"/>
            <w:vAlign w:val="center"/>
          </w:tcPr>
          <w:p>
            <w:pPr>
              <w:spacing w:after="0"/>
            </w:pPr>
            <w:r/>
            <w:r>
              <w:rPr>
                <w:b w:val="0"/>
                <w:sz w:val="14"/>
              </w:rPr>
              <w:t>When/how much to irrigate</w:t>
            </w:r>
          </w:p>
        </w:tc>
        <w:tc>
          <w:tcPr>
            <w:tcW w:type="dxa" w:w="2016"/>
            <w:vAlign w:val="center"/>
          </w:tcPr>
          <w:p>
            <w:pPr>
              <w:spacing w:after="0"/>
            </w:pPr>
            <w:r/>
            <w:r>
              <w:rPr>
                <w:b w:val="0"/>
                <w:sz w:val="14"/>
              </w:rPr>
              <w:t>Water per hectare, crop outcome, recommendation compliance</w:t>
            </w:r>
          </w:p>
        </w:tc>
      </w:tr>
      <w:tr>
        <w:tc>
          <w:tcPr>
            <w:tcW w:type="dxa" w:w="2016"/>
            <w:vAlign w:val="center"/>
          </w:tcPr>
          <w:p>
            <w:pPr>
              <w:spacing w:after="0"/>
            </w:pPr>
            <w:r/>
            <w:r>
              <w:rPr>
                <w:b w:val="0"/>
                <w:sz w:val="14"/>
              </w:rPr>
              <w:t>Inventory and logistics</w:t>
            </w:r>
          </w:p>
        </w:tc>
        <w:tc>
          <w:tcPr>
            <w:tcW w:type="dxa" w:w="2016"/>
            <w:vAlign w:val="center"/>
          </w:tcPr>
          <w:p>
            <w:pPr>
              <w:spacing w:after="0"/>
            </w:pPr>
            <w:r/>
            <w:r>
              <w:rPr>
                <w:b w:val="0"/>
                <w:sz w:val="14"/>
              </w:rPr>
              <w:t>Yield forecasts, orders, prices, storage capacity, transport history</w:t>
            </w:r>
          </w:p>
        </w:tc>
        <w:tc>
          <w:tcPr>
            <w:tcW w:type="dxa" w:w="2016"/>
            <w:vAlign w:val="center"/>
          </w:tcPr>
          <w:p>
            <w:pPr>
              <w:spacing w:after="0"/>
            </w:pPr>
            <w:r/>
            <w:r>
              <w:rPr>
                <w:b w:val="0"/>
                <w:sz w:val="14"/>
              </w:rPr>
              <w:t>Time-series forecasting and optimization</w:t>
            </w:r>
          </w:p>
        </w:tc>
        <w:tc>
          <w:tcPr>
            <w:tcW w:type="dxa" w:w="2016"/>
            <w:vAlign w:val="center"/>
          </w:tcPr>
          <w:p>
            <w:pPr>
              <w:spacing w:after="0"/>
            </w:pPr>
            <w:r/>
            <w:r>
              <w:rPr>
                <w:b w:val="0"/>
                <w:sz w:val="14"/>
              </w:rPr>
              <w:t>Stock, warehouse, vehicle and procurement planning</w:t>
            </w:r>
          </w:p>
        </w:tc>
        <w:tc>
          <w:tcPr>
            <w:tcW w:type="dxa" w:w="2016"/>
            <w:vAlign w:val="center"/>
          </w:tcPr>
          <w:p>
            <w:pPr>
              <w:spacing w:after="0"/>
            </w:pPr>
            <w:r/>
            <w:r>
              <w:rPr>
                <w:b w:val="0"/>
                <w:sz w:val="14"/>
              </w:rPr>
              <w:t>Forecast error, stock-outs, waste, cost per unit</w:t>
            </w:r>
          </w:p>
        </w:tc>
      </w:tr>
    </w:tbl>
    <w:p/>
    <w:p>
      <w:pPr>
        <w:pStyle w:val="Heading2"/>
      </w:pPr>
      <w:r>
        <w:t>5.1 Model selection principles</w:t>
      </w:r>
    </w:p>
    <w:p>
      <w:pPr>
        <w:pStyle w:val="ListBullet"/>
      </w:pPr>
      <w:r>
        <w:t>Start with a transparent baseline such as a seasonal average, linear regression, or existing agronomic rule.</w:t>
      </w:r>
    </w:p>
    <w:p>
      <w:pPr>
        <w:pStyle w:val="ListBullet"/>
      </w:pPr>
      <w:r>
        <w:t>Compare candidate models using the same training and validation protocol.</w:t>
      </w:r>
    </w:p>
    <w:p>
      <w:pPr>
        <w:pStyle w:val="ListBullet"/>
      </w:pPr>
      <w:r>
        <w:t>Use time-based splits for future forecasting and, where possible, test on a different location or season.</w:t>
      </w:r>
    </w:p>
    <w:p>
      <w:pPr>
        <w:pStyle w:val="ListBullet"/>
      </w:pPr>
      <w:r>
        <w:t>Avoid data leakage: information recorded after the prediction date must not enter the model inputs.</w:t>
      </w:r>
    </w:p>
    <w:p>
      <w:pPr>
        <w:pStyle w:val="ListBullet"/>
      </w:pPr>
      <w:r>
        <w:t>Choose models that meet the required accuracy, interpretability, maintenance, and operating-cost needs.</w:t>
      </w:r>
    </w:p>
    <w:p>
      <w:pPr>
        <w:pStyle w:val="ListBullet"/>
      </w:pPr>
      <w:r>
        <w:t>Keep agronomists involved for high-impact recommendations; show uncertainty and the reason for each alert when feasible.</w:t>
      </w:r>
    </w:p>
    <w:p>
      <w:pPr>
        <w:pStyle w:val="Heading1"/>
      </w:pPr>
      <w:r>
        <w:t>6. Data Strategy and Governance</w:t>
      </w:r>
    </w:p>
    <w:p>
      <w:pPr>
        <w:pStyle w:val="ListNumber"/>
      </w:pPr>
      <w:r>
        <w:t>Inventory datasets: owner, source, format, frequency, geographic coverage, crop/season coverage, permitted use, and retention period.</w:t>
      </w:r>
    </w:p>
    <w:p>
      <w:pPr>
        <w:pStyle w:val="ListNumber"/>
      </w:pPr>
      <w:r>
        <w:t>Assess quality: missing values, inconsistent units, duplicate records, outliers, timestamp alignment, and representativeness.</w:t>
      </w:r>
    </w:p>
    <w:p>
      <w:pPr>
        <w:pStyle w:val="ListNumber"/>
      </w:pPr>
      <w:r>
        <w:t>Create a data dictionary and consistent field identifiers; document transformations and assumptions.</w:t>
      </w:r>
    </w:p>
    <w:p>
      <w:pPr>
        <w:pStyle w:val="ListNumber"/>
      </w:pPr>
      <w:r>
        <w:t>Use only data with a clear legal/contractual basis and appropriate permissions. Obtain informed consent where required.</w:t>
      </w:r>
    </w:p>
    <w:p>
      <w:pPr>
        <w:pStyle w:val="ListNumber"/>
      </w:pPr>
      <w:r>
        <w:t>Minimize personal information; aggregate location or farmer records when individual identification is not needed.</w:t>
      </w:r>
    </w:p>
    <w:p>
      <w:pPr>
        <w:pStyle w:val="ListNumber"/>
      </w:pPr>
      <w:r>
        <w:t>Control access by role, protect data in transit and storage, maintain backups, and record access and model changes.</w:t>
      </w:r>
    </w:p>
    <w:p>
      <w:pPr>
        <w:pStyle w:val="ListNumber"/>
      </w:pPr>
      <w:r>
        <w:t>Establish a process for correcting inaccurate data and withdrawing or updating consent where applicable.</w:t>
      </w:r>
    </w:p>
    <w:p>
      <w:pPr>
        <w:pStyle w:val="ListNumber"/>
      </w:pPr>
      <w:r>
        <w:t>Monitor data drift, model errors, complaints, and performance differences across regions and farm sizes.</w:t>
      </w:r>
    </w:p>
    <w:p>
      <w:pPr>
        <w:pStyle w:val="Heading1"/>
      </w:pPr>
      <w:r>
        <w:t>7. Twelve-Month Implementation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4"/>
              </w:rPr>
              <w:t>Phase / months</w:t>
            </w:r>
          </w:p>
        </w:tc>
        <w:tc>
          <w:tcPr>
            <w:tcW w:type="dxa" w:w="2520"/>
            <w:vAlign w:val="center"/>
            <w:shd w:fill="D9EAF7"/>
          </w:tcPr>
          <w:p>
            <w:pPr>
              <w:spacing w:after="0"/>
            </w:pPr>
            <w:r/>
            <w:r>
              <w:rPr>
                <w:b/>
                <w:sz w:val="14"/>
              </w:rPr>
              <w:t>Activities</w:t>
            </w:r>
          </w:p>
        </w:tc>
        <w:tc>
          <w:tcPr>
            <w:tcW w:type="dxa" w:w="2520"/>
            <w:vAlign w:val="center"/>
            <w:shd w:fill="D9EAF7"/>
          </w:tcPr>
          <w:p>
            <w:pPr>
              <w:spacing w:after="0"/>
            </w:pPr>
            <w:r/>
            <w:r>
              <w:rPr>
                <w:b/>
                <w:sz w:val="14"/>
              </w:rPr>
              <w:t>Deliverables / milestone</w:t>
            </w:r>
          </w:p>
        </w:tc>
        <w:tc>
          <w:tcPr>
            <w:tcW w:type="dxa" w:w="2520"/>
            <w:vAlign w:val="center"/>
            <w:shd w:fill="D9EAF7"/>
          </w:tcPr>
          <w:p>
            <w:pPr>
              <w:spacing w:after="0"/>
            </w:pPr>
            <w:r/>
            <w:r>
              <w:rPr>
                <w:b/>
                <w:sz w:val="14"/>
              </w:rPr>
              <w:t>Gate to proceed</w:t>
            </w:r>
          </w:p>
        </w:tc>
      </w:tr>
      <w:tr>
        <w:tc>
          <w:tcPr>
            <w:tcW w:type="dxa" w:w="2520"/>
            <w:vAlign w:val="center"/>
          </w:tcPr>
          <w:p>
            <w:pPr>
              <w:spacing w:after="0"/>
            </w:pPr>
            <w:r/>
            <w:r>
              <w:rPr>
                <w:b w:val="0"/>
                <w:sz w:val="14"/>
              </w:rPr>
              <w:t>1. Discovery (M1)</w:t>
            </w:r>
          </w:p>
        </w:tc>
        <w:tc>
          <w:tcPr>
            <w:tcW w:type="dxa" w:w="2520"/>
            <w:vAlign w:val="center"/>
          </w:tcPr>
          <w:p>
            <w:pPr>
              <w:spacing w:after="0"/>
            </w:pPr>
            <w:r/>
            <w:r>
              <w:rPr>
                <w:b w:val="0"/>
                <w:sz w:val="14"/>
              </w:rPr>
              <w:t>Interview stakeholders; select crop/region; map decisions and current process</w:t>
            </w:r>
          </w:p>
        </w:tc>
        <w:tc>
          <w:tcPr>
            <w:tcW w:type="dxa" w:w="2520"/>
            <w:vAlign w:val="center"/>
          </w:tcPr>
          <w:p>
            <w:pPr>
              <w:spacing w:after="0"/>
            </w:pPr>
            <w:r/>
            <w:r>
              <w:rPr>
                <w:b w:val="0"/>
                <w:sz w:val="14"/>
              </w:rPr>
              <w:t>Project charter, scope, stakeholder map, baseline KPI plan</w:t>
            </w:r>
          </w:p>
        </w:tc>
        <w:tc>
          <w:tcPr>
            <w:tcW w:type="dxa" w:w="2520"/>
            <w:vAlign w:val="center"/>
          </w:tcPr>
          <w:p>
            <w:pPr>
              <w:spacing w:after="0"/>
            </w:pPr>
            <w:r/>
            <w:r>
              <w:rPr>
                <w:b w:val="0"/>
                <w:sz w:val="14"/>
              </w:rPr>
              <w:t>Sponsor approves scope and problem statement</w:t>
            </w:r>
          </w:p>
        </w:tc>
      </w:tr>
      <w:tr>
        <w:tc>
          <w:tcPr>
            <w:tcW w:type="dxa" w:w="2520"/>
            <w:vAlign w:val="center"/>
          </w:tcPr>
          <w:p>
            <w:pPr>
              <w:spacing w:after="0"/>
            </w:pPr>
            <w:r/>
            <w:r>
              <w:rPr>
                <w:b w:val="0"/>
                <w:sz w:val="14"/>
              </w:rPr>
              <w:t>2. Data readiness (M2–M3)</w:t>
            </w:r>
          </w:p>
        </w:tc>
        <w:tc>
          <w:tcPr>
            <w:tcW w:type="dxa" w:w="2520"/>
            <w:vAlign w:val="center"/>
          </w:tcPr>
          <w:p>
            <w:pPr>
              <w:spacing w:after="0"/>
            </w:pPr>
            <w:r/>
            <w:r>
              <w:rPr>
                <w:b w:val="0"/>
                <w:sz w:val="14"/>
              </w:rPr>
              <w:t>Inventory sources; permissions; clean and profile data; assess gaps</w:t>
            </w:r>
          </w:p>
        </w:tc>
        <w:tc>
          <w:tcPr>
            <w:tcW w:type="dxa" w:w="2520"/>
            <w:vAlign w:val="center"/>
          </w:tcPr>
          <w:p>
            <w:pPr>
              <w:spacing w:after="0"/>
            </w:pPr>
            <w:r/>
            <w:r>
              <w:rPr>
                <w:b w:val="0"/>
                <w:sz w:val="14"/>
              </w:rPr>
              <w:t>Data audit, data dictionary, governance checklist</w:t>
            </w:r>
          </w:p>
        </w:tc>
        <w:tc>
          <w:tcPr>
            <w:tcW w:type="dxa" w:w="2520"/>
            <w:vAlign w:val="center"/>
          </w:tcPr>
          <w:p>
            <w:pPr>
              <w:spacing w:after="0"/>
            </w:pPr>
            <w:r/>
            <w:r>
              <w:rPr>
                <w:b w:val="0"/>
                <w:sz w:val="14"/>
              </w:rPr>
              <w:t>Enough permitted, relevant data for a fair test</w:t>
            </w:r>
          </w:p>
        </w:tc>
      </w:tr>
      <w:tr>
        <w:tc>
          <w:tcPr>
            <w:tcW w:type="dxa" w:w="2520"/>
            <w:vAlign w:val="center"/>
          </w:tcPr>
          <w:p>
            <w:pPr>
              <w:spacing w:after="0"/>
            </w:pPr>
            <w:r/>
            <w:r>
              <w:rPr>
                <w:b w:val="0"/>
                <w:sz w:val="14"/>
              </w:rPr>
              <w:t>3. Baseline and design (M4)</w:t>
            </w:r>
          </w:p>
        </w:tc>
        <w:tc>
          <w:tcPr>
            <w:tcW w:type="dxa" w:w="2520"/>
            <w:vAlign w:val="center"/>
          </w:tcPr>
          <w:p>
            <w:pPr>
              <w:spacing w:after="0"/>
            </w:pPr>
            <w:r/>
            <w:r>
              <w:rPr>
                <w:b w:val="0"/>
                <w:sz w:val="14"/>
              </w:rPr>
              <w:t>Define evaluation protocol; build simple baseline; select model candidates</w:t>
            </w:r>
          </w:p>
        </w:tc>
        <w:tc>
          <w:tcPr>
            <w:tcW w:type="dxa" w:w="2520"/>
            <w:vAlign w:val="center"/>
          </w:tcPr>
          <w:p>
            <w:pPr>
              <w:spacing w:after="0"/>
            </w:pPr>
            <w:r/>
            <w:r>
              <w:rPr>
                <w:b w:val="0"/>
                <w:sz w:val="14"/>
              </w:rPr>
              <w:t>Technical design, baseline report, test plan</w:t>
            </w:r>
          </w:p>
        </w:tc>
        <w:tc>
          <w:tcPr>
            <w:tcW w:type="dxa" w:w="2520"/>
            <w:vAlign w:val="center"/>
          </w:tcPr>
          <w:p>
            <w:pPr>
              <w:spacing w:after="0"/>
            </w:pPr>
            <w:r/>
            <w:r>
              <w:rPr>
                <w:b w:val="0"/>
                <w:sz w:val="14"/>
              </w:rPr>
              <w:t>Metrics and comparison method approved</w:t>
            </w:r>
          </w:p>
        </w:tc>
      </w:tr>
      <w:tr>
        <w:tc>
          <w:tcPr>
            <w:tcW w:type="dxa" w:w="2520"/>
            <w:vAlign w:val="center"/>
          </w:tcPr>
          <w:p>
            <w:pPr>
              <w:spacing w:after="0"/>
            </w:pPr>
            <w:r/>
            <w:r>
              <w:rPr>
                <w:b w:val="0"/>
                <w:sz w:val="14"/>
              </w:rPr>
              <w:t>4. Prototype development (M5–M6)</w:t>
            </w:r>
          </w:p>
        </w:tc>
        <w:tc>
          <w:tcPr>
            <w:tcW w:type="dxa" w:w="2520"/>
            <w:vAlign w:val="center"/>
          </w:tcPr>
          <w:p>
            <w:pPr>
              <w:spacing w:after="0"/>
            </w:pPr>
            <w:r/>
            <w:r>
              <w:rPr>
                <w:b w:val="0"/>
                <w:sz w:val="14"/>
              </w:rPr>
              <w:t>Train candidate models; compare errors; create dashboard/advisory prototype</w:t>
            </w:r>
          </w:p>
        </w:tc>
        <w:tc>
          <w:tcPr>
            <w:tcW w:type="dxa" w:w="2520"/>
            <w:vAlign w:val="center"/>
          </w:tcPr>
          <w:p>
            <w:pPr>
              <w:spacing w:after="0"/>
            </w:pPr>
            <w:r/>
            <w:r>
              <w:rPr>
                <w:b w:val="0"/>
                <w:sz w:val="14"/>
              </w:rPr>
              <w:t>Model card, prototype, validation results</w:t>
            </w:r>
          </w:p>
        </w:tc>
        <w:tc>
          <w:tcPr>
            <w:tcW w:type="dxa" w:w="2520"/>
            <w:vAlign w:val="center"/>
          </w:tcPr>
          <w:p>
            <w:pPr>
              <w:spacing w:after="0"/>
            </w:pPr>
            <w:r/>
            <w:r>
              <w:rPr>
                <w:b w:val="0"/>
                <w:sz w:val="14"/>
              </w:rPr>
              <w:t>Model beats baseline or provides useful operational value</w:t>
            </w:r>
          </w:p>
        </w:tc>
      </w:tr>
      <w:tr>
        <w:tc>
          <w:tcPr>
            <w:tcW w:type="dxa" w:w="2520"/>
            <w:vAlign w:val="center"/>
          </w:tcPr>
          <w:p>
            <w:pPr>
              <w:spacing w:after="0"/>
            </w:pPr>
            <w:r/>
            <w:r>
              <w:rPr>
                <w:b w:val="0"/>
                <w:sz w:val="14"/>
              </w:rPr>
              <w:t>5. Field / operations pilot (M7–M8)</w:t>
            </w:r>
          </w:p>
        </w:tc>
        <w:tc>
          <w:tcPr>
            <w:tcW w:type="dxa" w:w="2520"/>
            <w:vAlign w:val="center"/>
          </w:tcPr>
          <w:p>
            <w:pPr>
              <w:spacing w:after="0"/>
            </w:pPr>
            <w:r/>
            <w:r>
              <w:rPr>
                <w:b w:val="0"/>
                <w:sz w:val="14"/>
              </w:rPr>
              <w:t>Train users; issue limited advisories; capture feedback and actions</w:t>
            </w:r>
          </w:p>
        </w:tc>
        <w:tc>
          <w:tcPr>
            <w:tcW w:type="dxa" w:w="2520"/>
            <w:vAlign w:val="center"/>
          </w:tcPr>
          <w:p>
            <w:pPr>
              <w:spacing w:after="0"/>
            </w:pPr>
            <w:r/>
            <w:r>
              <w:rPr>
                <w:b w:val="0"/>
                <w:sz w:val="14"/>
              </w:rPr>
              <w:t>Pilot log, user guide, incident and feedback register</w:t>
            </w:r>
          </w:p>
        </w:tc>
        <w:tc>
          <w:tcPr>
            <w:tcW w:type="dxa" w:w="2520"/>
            <w:vAlign w:val="center"/>
          </w:tcPr>
          <w:p>
            <w:pPr>
              <w:spacing w:after="0"/>
            </w:pPr>
            <w:r/>
            <w:r>
              <w:rPr>
                <w:b w:val="0"/>
                <w:sz w:val="14"/>
              </w:rPr>
              <w:t>Safety, usability and reliability checks passed</w:t>
            </w:r>
          </w:p>
        </w:tc>
      </w:tr>
      <w:tr>
        <w:tc>
          <w:tcPr>
            <w:tcW w:type="dxa" w:w="2520"/>
            <w:vAlign w:val="center"/>
          </w:tcPr>
          <w:p>
            <w:pPr>
              <w:spacing w:after="0"/>
            </w:pPr>
            <w:r/>
            <w:r>
              <w:rPr>
                <w:b w:val="0"/>
                <w:sz w:val="14"/>
              </w:rPr>
              <w:t>6. Evaluation (M9–M10)</w:t>
            </w:r>
          </w:p>
        </w:tc>
        <w:tc>
          <w:tcPr>
            <w:tcW w:type="dxa" w:w="2520"/>
            <w:vAlign w:val="center"/>
          </w:tcPr>
          <w:p>
            <w:pPr>
              <w:spacing w:after="0"/>
            </w:pPr>
            <w:r/>
            <w:r>
              <w:rPr>
                <w:b w:val="0"/>
                <w:sz w:val="14"/>
              </w:rPr>
              <w:t>Compare outcomes, cost, adoption, error, subgroup performance, and limitations</w:t>
            </w:r>
          </w:p>
        </w:tc>
        <w:tc>
          <w:tcPr>
            <w:tcW w:type="dxa" w:w="2520"/>
            <w:vAlign w:val="center"/>
          </w:tcPr>
          <w:p>
            <w:pPr>
              <w:spacing w:after="0"/>
            </w:pPr>
            <w:r/>
            <w:r>
              <w:rPr>
                <w:b w:val="0"/>
                <w:sz w:val="14"/>
              </w:rPr>
              <w:t>Impact and cost-benefit report</w:t>
            </w:r>
          </w:p>
        </w:tc>
        <w:tc>
          <w:tcPr>
            <w:tcW w:type="dxa" w:w="2520"/>
            <w:vAlign w:val="center"/>
          </w:tcPr>
          <w:p>
            <w:pPr>
              <w:spacing w:after="0"/>
            </w:pPr>
            <w:r/>
            <w:r>
              <w:rPr>
                <w:b w:val="0"/>
                <w:sz w:val="14"/>
              </w:rPr>
              <w:t>Evidence supports scale, revision, or stop decision</w:t>
            </w:r>
          </w:p>
        </w:tc>
      </w:tr>
      <w:tr>
        <w:tc>
          <w:tcPr>
            <w:tcW w:type="dxa" w:w="2520"/>
            <w:vAlign w:val="center"/>
          </w:tcPr>
          <w:p>
            <w:pPr>
              <w:spacing w:after="0"/>
            </w:pPr>
            <w:r/>
            <w:r>
              <w:rPr>
                <w:b w:val="0"/>
                <w:sz w:val="14"/>
              </w:rPr>
              <w:t>7. Scale planning (M11)</w:t>
            </w:r>
          </w:p>
        </w:tc>
        <w:tc>
          <w:tcPr>
            <w:tcW w:type="dxa" w:w="2520"/>
            <w:vAlign w:val="center"/>
          </w:tcPr>
          <w:p>
            <w:pPr>
              <w:spacing w:after="0"/>
            </w:pPr>
            <w:r/>
            <w:r>
              <w:rPr>
                <w:b w:val="0"/>
                <w:sz w:val="14"/>
              </w:rPr>
              <w:t>Plan integration, support, training, service levels, and budget</w:t>
            </w:r>
          </w:p>
        </w:tc>
        <w:tc>
          <w:tcPr>
            <w:tcW w:type="dxa" w:w="2520"/>
            <w:vAlign w:val="center"/>
          </w:tcPr>
          <w:p>
            <w:pPr>
              <w:spacing w:after="0"/>
            </w:pPr>
            <w:r/>
            <w:r>
              <w:rPr>
                <w:b w:val="0"/>
                <w:sz w:val="14"/>
              </w:rPr>
              <w:t>Deployment plan, maintenance plan, updated risk register</w:t>
            </w:r>
          </w:p>
        </w:tc>
        <w:tc>
          <w:tcPr>
            <w:tcW w:type="dxa" w:w="2520"/>
            <w:vAlign w:val="center"/>
          </w:tcPr>
          <w:p>
            <w:pPr>
              <w:spacing w:after="0"/>
            </w:pPr>
            <w:r/>
            <w:r>
              <w:rPr>
                <w:b w:val="0"/>
                <w:sz w:val="14"/>
              </w:rPr>
              <w:t>Management accepts recurring costs and controls</w:t>
            </w:r>
          </w:p>
        </w:tc>
      </w:tr>
      <w:tr>
        <w:tc>
          <w:tcPr>
            <w:tcW w:type="dxa" w:w="2520"/>
            <w:vAlign w:val="center"/>
          </w:tcPr>
          <w:p>
            <w:pPr>
              <w:spacing w:after="0"/>
            </w:pPr>
            <w:r/>
            <w:r>
              <w:rPr>
                <w:b w:val="0"/>
                <w:sz w:val="14"/>
              </w:rPr>
              <w:t>8. Final review (M12)</w:t>
            </w:r>
          </w:p>
        </w:tc>
        <w:tc>
          <w:tcPr>
            <w:tcW w:type="dxa" w:w="2520"/>
            <w:vAlign w:val="center"/>
          </w:tcPr>
          <w:p>
            <w:pPr>
              <w:spacing w:after="0"/>
            </w:pPr>
            <w:r/>
            <w:r>
              <w:rPr>
                <w:b w:val="0"/>
                <w:sz w:val="14"/>
              </w:rPr>
              <w:t>Present results and lessons; archive documentation; agree next phase</w:t>
            </w:r>
          </w:p>
        </w:tc>
        <w:tc>
          <w:tcPr>
            <w:tcW w:type="dxa" w:w="2520"/>
            <w:vAlign w:val="center"/>
          </w:tcPr>
          <w:p>
            <w:pPr>
              <w:spacing w:after="0"/>
            </w:pPr>
            <w:r/>
            <w:r>
              <w:rPr>
                <w:b w:val="0"/>
                <w:sz w:val="14"/>
              </w:rPr>
              <w:t>Final strategic review and roadmap</w:t>
            </w:r>
          </w:p>
        </w:tc>
        <w:tc>
          <w:tcPr>
            <w:tcW w:type="dxa" w:w="2520"/>
            <w:vAlign w:val="center"/>
          </w:tcPr>
          <w:p>
            <w:pPr>
              <w:spacing w:after="0"/>
            </w:pPr>
            <w:r/>
            <w:r>
              <w:rPr>
                <w:b w:val="0"/>
                <w:sz w:val="14"/>
              </w:rPr>
              <w:t>Formal scale / revise / stop decision</w:t>
            </w:r>
          </w:p>
        </w:tc>
      </w:tr>
    </w:tbl>
    <w:p/>
    <w:p>
      <w:pPr>
        <w:pStyle w:val="Heading1"/>
      </w:pPr>
      <w:r>
        <w:t>8. Risk and Impact Analysis</w:t>
      </w:r>
    </w:p>
    <w:p>
      <w:r>
        <w:t>Ratings below are initial planning judgements (Low/Medium/High), not measured probabilities. Review them monthly and after any serious incident.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b/>
                <w:sz w:val="14"/>
              </w:rPr>
              <w:t>Risk</w:t>
            </w:r>
          </w:p>
        </w:tc>
        <w:tc>
          <w:tcPr>
            <w:tcW w:type="dxa" w:w="2016"/>
            <w:vAlign w:val="center"/>
            <w:shd w:fill="D9EAF7"/>
          </w:tcPr>
          <w:p>
            <w:pPr>
              <w:spacing w:after="0"/>
            </w:pPr>
            <w:r/>
            <w:r>
              <w:rPr>
                <w:b/>
                <w:sz w:val="14"/>
              </w:rPr>
              <w:t>Likelihood</w:t>
            </w:r>
          </w:p>
        </w:tc>
        <w:tc>
          <w:tcPr>
            <w:tcW w:type="dxa" w:w="2016"/>
            <w:vAlign w:val="center"/>
            <w:shd w:fill="D9EAF7"/>
          </w:tcPr>
          <w:p>
            <w:pPr>
              <w:spacing w:after="0"/>
            </w:pPr>
            <w:r/>
            <w:r>
              <w:rPr>
                <w:b/>
                <w:sz w:val="14"/>
              </w:rPr>
              <w:t>Impact</w:t>
            </w:r>
          </w:p>
        </w:tc>
        <w:tc>
          <w:tcPr>
            <w:tcW w:type="dxa" w:w="2016"/>
            <w:vAlign w:val="center"/>
            <w:shd w:fill="D9EAF7"/>
          </w:tcPr>
          <w:p>
            <w:pPr>
              <w:spacing w:after="0"/>
            </w:pPr>
            <w:r/>
            <w:r>
              <w:rPr>
                <w:b/>
                <w:sz w:val="14"/>
              </w:rPr>
              <w:t>Potential consequence</w:t>
            </w:r>
          </w:p>
        </w:tc>
        <w:tc>
          <w:tcPr>
            <w:tcW w:type="dxa" w:w="2016"/>
            <w:vAlign w:val="center"/>
            <w:shd w:fill="D9EAF7"/>
          </w:tcPr>
          <w:p>
            <w:pPr>
              <w:spacing w:after="0"/>
            </w:pPr>
            <w:r/>
            <w:r>
              <w:rPr>
                <w:b/>
                <w:sz w:val="14"/>
              </w:rPr>
              <w:t>Mitigation / owner</w:t>
            </w:r>
          </w:p>
        </w:tc>
      </w:tr>
      <w:tr>
        <w:tc>
          <w:tcPr>
            <w:tcW w:type="dxa" w:w="2016"/>
            <w:vAlign w:val="center"/>
          </w:tcPr>
          <w:p>
            <w:pPr>
              <w:spacing w:after="0"/>
            </w:pPr>
            <w:r/>
            <w:r>
              <w:rPr>
                <w:b w:val="0"/>
                <w:sz w:val="14"/>
              </w:rPr>
              <w:t>Poor or incomplete data</w:t>
            </w:r>
          </w:p>
        </w:tc>
        <w:tc>
          <w:tcPr>
            <w:tcW w:type="dxa" w:w="2016"/>
            <w:vAlign w:val="center"/>
          </w:tcPr>
          <w:p>
            <w:pPr>
              <w:spacing w:after="0"/>
            </w:pPr>
            <w:r/>
            <w:r>
              <w:rPr>
                <w:b w:val="0"/>
                <w:sz w:val="14"/>
              </w:rPr>
              <w:t>High</w:t>
            </w:r>
          </w:p>
        </w:tc>
        <w:tc>
          <w:tcPr>
            <w:tcW w:type="dxa" w:w="2016"/>
            <w:vAlign w:val="center"/>
          </w:tcPr>
          <w:p>
            <w:pPr>
              <w:spacing w:after="0"/>
            </w:pPr>
            <w:r/>
            <w:r>
              <w:rPr>
                <w:b w:val="0"/>
                <w:sz w:val="14"/>
              </w:rPr>
              <w:t>High</w:t>
            </w:r>
          </w:p>
        </w:tc>
        <w:tc>
          <w:tcPr>
            <w:tcW w:type="dxa" w:w="2016"/>
            <w:vAlign w:val="center"/>
          </w:tcPr>
          <w:p>
            <w:pPr>
              <w:spacing w:after="0"/>
            </w:pPr>
            <w:r/>
            <w:r>
              <w:rPr>
                <w:b w:val="0"/>
                <w:sz w:val="14"/>
              </w:rPr>
              <w:t>Unreliable predictions; wasted effort</w:t>
            </w:r>
          </w:p>
        </w:tc>
        <w:tc>
          <w:tcPr>
            <w:tcW w:type="dxa" w:w="2016"/>
            <w:vAlign w:val="center"/>
          </w:tcPr>
          <w:p>
            <w:pPr>
              <w:spacing w:after="0"/>
            </w:pPr>
            <w:r/>
            <w:r>
              <w:rPr>
                <w:b w:val="0"/>
                <w:sz w:val="14"/>
              </w:rPr>
              <w:t>Data profiling, data dictionary, minimum quality gates, manual review; Data Lead</w:t>
            </w:r>
          </w:p>
        </w:tc>
      </w:tr>
      <w:tr>
        <w:tc>
          <w:tcPr>
            <w:tcW w:type="dxa" w:w="2016"/>
            <w:vAlign w:val="center"/>
          </w:tcPr>
          <w:p>
            <w:pPr>
              <w:spacing w:after="0"/>
            </w:pPr>
            <w:r/>
            <w:r>
              <w:rPr>
                <w:b w:val="0"/>
                <w:sz w:val="14"/>
              </w:rPr>
              <w:t>Weather and climate variability</w:t>
            </w:r>
          </w:p>
        </w:tc>
        <w:tc>
          <w:tcPr>
            <w:tcW w:type="dxa" w:w="2016"/>
            <w:vAlign w:val="center"/>
          </w:tcPr>
          <w:p>
            <w:pPr>
              <w:spacing w:after="0"/>
            </w:pPr>
            <w:r/>
            <w:r>
              <w:rPr>
                <w:b w:val="0"/>
                <w:sz w:val="14"/>
              </w:rPr>
              <w:t>High</w:t>
            </w:r>
          </w:p>
        </w:tc>
        <w:tc>
          <w:tcPr>
            <w:tcW w:type="dxa" w:w="2016"/>
            <w:vAlign w:val="center"/>
          </w:tcPr>
          <w:p>
            <w:pPr>
              <w:spacing w:after="0"/>
            </w:pPr>
            <w:r/>
            <w:r>
              <w:rPr>
                <w:b w:val="0"/>
                <w:sz w:val="14"/>
              </w:rPr>
              <w:t>High</w:t>
            </w:r>
          </w:p>
        </w:tc>
        <w:tc>
          <w:tcPr>
            <w:tcW w:type="dxa" w:w="2016"/>
            <w:vAlign w:val="center"/>
          </w:tcPr>
          <w:p>
            <w:pPr>
              <w:spacing w:after="0"/>
            </w:pPr>
            <w:r/>
            <w:r>
              <w:rPr>
                <w:b w:val="0"/>
                <w:sz w:val="14"/>
              </w:rPr>
              <w:t>Model accuracy falls in unusual seasons</w:t>
            </w:r>
          </w:p>
        </w:tc>
        <w:tc>
          <w:tcPr>
            <w:tcW w:type="dxa" w:w="2016"/>
            <w:vAlign w:val="center"/>
          </w:tcPr>
          <w:p>
            <w:pPr>
              <w:spacing w:after="0"/>
            </w:pPr>
            <w:r/>
            <w:r>
              <w:rPr>
                <w:b w:val="0"/>
                <w:sz w:val="14"/>
              </w:rPr>
              <w:t>Use recent forecasts and scenario tests; communicate uncertainty; retrain/validate by season; Agronomy Lead</w:t>
            </w:r>
          </w:p>
        </w:tc>
      </w:tr>
      <w:tr>
        <w:tc>
          <w:tcPr>
            <w:tcW w:type="dxa" w:w="2016"/>
            <w:vAlign w:val="center"/>
          </w:tcPr>
          <w:p>
            <w:pPr>
              <w:spacing w:after="0"/>
            </w:pPr>
            <w:r/>
            <w:r>
              <w:rPr>
                <w:b w:val="0"/>
                <w:sz w:val="14"/>
              </w:rPr>
              <w:t>Model bias across locations or farm sizes</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Some groups receive less useful advice</w:t>
            </w:r>
          </w:p>
        </w:tc>
        <w:tc>
          <w:tcPr>
            <w:tcW w:type="dxa" w:w="2016"/>
            <w:vAlign w:val="center"/>
          </w:tcPr>
          <w:p>
            <w:pPr>
              <w:spacing w:after="0"/>
            </w:pPr>
            <w:r/>
            <w:r>
              <w:rPr>
                <w:b w:val="0"/>
                <w:sz w:val="14"/>
              </w:rPr>
              <w:t>Evaluate by crop, region, farm size and data availability; add local data; provide escalation route; ML Lead</w:t>
            </w:r>
          </w:p>
        </w:tc>
      </w:tr>
      <w:tr>
        <w:tc>
          <w:tcPr>
            <w:tcW w:type="dxa" w:w="2016"/>
            <w:vAlign w:val="center"/>
          </w:tcPr>
          <w:p>
            <w:pPr>
              <w:spacing w:after="0"/>
            </w:pPr>
            <w:r/>
            <w:r>
              <w:rPr>
                <w:b w:val="0"/>
                <w:sz w:val="14"/>
              </w:rPr>
              <w:t>Low adoption / digital access barriers</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Benefits do not reach intended users</w:t>
            </w:r>
          </w:p>
        </w:tc>
        <w:tc>
          <w:tcPr>
            <w:tcW w:type="dxa" w:w="2016"/>
            <w:vAlign w:val="center"/>
          </w:tcPr>
          <w:p>
            <w:pPr>
              <w:spacing w:after="0"/>
            </w:pPr>
            <w:r/>
            <w:r>
              <w:rPr>
                <w:b w:val="0"/>
                <w:sz w:val="14"/>
              </w:rPr>
              <w:t>Co-design, local languages, SMS/voice/offline options, training; Field Lead</w:t>
            </w:r>
          </w:p>
        </w:tc>
      </w:tr>
      <w:tr>
        <w:tc>
          <w:tcPr>
            <w:tcW w:type="dxa" w:w="2016"/>
            <w:vAlign w:val="center"/>
          </w:tcPr>
          <w:p>
            <w:pPr>
              <w:spacing w:after="0"/>
            </w:pPr>
            <w:r/>
            <w:r>
              <w:rPr>
                <w:b w:val="0"/>
                <w:sz w:val="14"/>
              </w:rPr>
              <w:t>Connectivity or infrastructure failure</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Late alerts or interrupted service</w:t>
            </w:r>
          </w:p>
        </w:tc>
        <w:tc>
          <w:tcPr>
            <w:tcW w:type="dxa" w:w="2016"/>
            <w:vAlign w:val="center"/>
          </w:tcPr>
          <w:p>
            <w:pPr>
              <w:spacing w:after="0"/>
            </w:pPr>
            <w:r/>
            <w:r>
              <w:rPr>
                <w:b w:val="0"/>
                <w:sz w:val="14"/>
              </w:rPr>
              <w:t>Low-bandwidth delivery, cached information, backup channels and manual fallback; IT Lead</w:t>
            </w:r>
          </w:p>
        </w:tc>
      </w:tr>
      <w:tr>
        <w:tc>
          <w:tcPr>
            <w:tcW w:type="dxa" w:w="2016"/>
            <w:vAlign w:val="center"/>
          </w:tcPr>
          <w:p>
            <w:pPr>
              <w:spacing w:after="0"/>
            </w:pPr>
            <w:r/>
            <w:r>
              <w:rPr>
                <w:b w:val="0"/>
                <w:sz w:val="14"/>
              </w:rPr>
              <w:t>Privacy or unauthorized data use</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Loss of trust, legal or reputational harm</w:t>
            </w:r>
          </w:p>
        </w:tc>
        <w:tc>
          <w:tcPr>
            <w:tcW w:type="dxa" w:w="2016"/>
            <w:vAlign w:val="center"/>
          </w:tcPr>
          <w:p>
            <w:pPr>
              <w:spacing w:after="0"/>
            </w:pPr>
            <w:r/>
            <w:r>
              <w:rPr>
                <w:b w:val="0"/>
                <w:sz w:val="14"/>
              </w:rPr>
              <w:t>Data minimization, permissions, access controls, retention rules, incident process; Data Protection Owner</w:t>
            </w:r>
          </w:p>
        </w:tc>
      </w:tr>
      <w:tr>
        <w:tc>
          <w:tcPr>
            <w:tcW w:type="dxa" w:w="2016"/>
            <w:vAlign w:val="center"/>
          </w:tcPr>
          <w:p>
            <w:pPr>
              <w:spacing w:after="0"/>
            </w:pPr>
            <w:r/>
            <w:r>
              <w:rPr>
                <w:b w:val="0"/>
                <w:sz w:val="14"/>
              </w:rPr>
              <w:t>Incorrect pest or crop recommendation</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Crop loss, unnecessary treatment, safety or cost impacts</w:t>
            </w:r>
          </w:p>
        </w:tc>
        <w:tc>
          <w:tcPr>
            <w:tcW w:type="dxa" w:w="2016"/>
            <w:vAlign w:val="center"/>
          </w:tcPr>
          <w:p>
            <w:pPr>
              <w:spacing w:after="0"/>
            </w:pPr>
            <w:r/>
            <w:r>
              <w:rPr>
                <w:b w:val="0"/>
                <w:sz w:val="14"/>
              </w:rPr>
              <w:t>Human review for high-impact advice, confidence thresholds, expert escalation, clear disclaimers; Agronomy Lead</w:t>
            </w:r>
          </w:p>
        </w:tc>
      </w:tr>
      <w:tr>
        <w:tc>
          <w:tcPr>
            <w:tcW w:type="dxa" w:w="2016"/>
            <w:vAlign w:val="center"/>
          </w:tcPr>
          <w:p>
            <w:pPr>
              <w:spacing w:after="0"/>
            </w:pPr>
            <w:r/>
            <w:r>
              <w:rPr>
                <w:b w:val="0"/>
                <w:sz w:val="14"/>
              </w:rPr>
              <w:t>Cybersecurity incident</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Data exposure or service disruption</w:t>
            </w:r>
          </w:p>
        </w:tc>
        <w:tc>
          <w:tcPr>
            <w:tcW w:type="dxa" w:w="2016"/>
            <w:vAlign w:val="center"/>
          </w:tcPr>
          <w:p>
            <w:pPr>
              <w:spacing w:after="0"/>
            </w:pPr>
            <w:r/>
            <w:r>
              <w:rPr>
                <w:b w:val="0"/>
                <w:sz w:val="14"/>
              </w:rPr>
              <w:t>Least-privilege access, updates, backups, logging, response drills; IT Lead</w:t>
            </w:r>
          </w:p>
        </w:tc>
      </w:tr>
      <w:tr>
        <w:tc>
          <w:tcPr>
            <w:tcW w:type="dxa" w:w="2016"/>
            <w:vAlign w:val="center"/>
          </w:tcPr>
          <w:p>
            <w:pPr>
              <w:spacing w:after="0"/>
            </w:pPr>
            <w:r/>
            <w:r>
              <w:rPr>
                <w:b w:val="0"/>
                <w:sz w:val="14"/>
              </w:rPr>
              <w:t>Vendor lock-in / integration difficulty</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 cost or migration difficulty</w:t>
            </w:r>
          </w:p>
        </w:tc>
        <w:tc>
          <w:tcPr>
            <w:tcW w:type="dxa" w:w="2016"/>
            <w:vAlign w:val="center"/>
          </w:tcPr>
          <w:p>
            <w:pPr>
              <w:spacing w:after="0"/>
            </w:pPr>
            <w:r/>
            <w:r>
              <w:rPr>
                <w:b w:val="0"/>
                <w:sz w:val="14"/>
              </w:rPr>
              <w:t>Portable data formats, documented APIs, exit clauses, modular architecture; IT/Procurement</w:t>
            </w:r>
          </w:p>
        </w:tc>
      </w:tr>
      <w:tr>
        <w:tc>
          <w:tcPr>
            <w:tcW w:type="dxa" w:w="2016"/>
            <w:vAlign w:val="center"/>
          </w:tcPr>
          <w:p>
            <w:pPr>
              <w:spacing w:after="0"/>
            </w:pPr>
            <w:r/>
            <w:r>
              <w:rPr>
                <w:b w:val="0"/>
                <w:sz w:val="14"/>
              </w:rPr>
              <w:t>Budget overrun / unclear ROI</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Project cannot be sustained</w:t>
            </w:r>
          </w:p>
        </w:tc>
        <w:tc>
          <w:tcPr>
            <w:tcW w:type="dxa" w:w="2016"/>
            <w:vAlign w:val="center"/>
          </w:tcPr>
          <w:p>
            <w:pPr>
              <w:spacing w:after="0"/>
            </w:pPr>
            <w:r/>
            <w:r>
              <w:rPr>
                <w:b w:val="0"/>
                <w:sz w:val="14"/>
              </w:rPr>
              <w:t>Stage-gated spending, cost tracking, total-cost estimate, stop criteria; Sponsor/Finance</w:t>
            </w:r>
          </w:p>
        </w:tc>
      </w:tr>
      <w:tr>
        <w:tc>
          <w:tcPr>
            <w:tcW w:type="dxa" w:w="2016"/>
            <w:vAlign w:val="center"/>
          </w:tcPr>
          <w:p>
            <w:pPr>
              <w:spacing w:after="0"/>
            </w:pPr>
            <w:r/>
            <w:r>
              <w:rPr>
                <w:b w:val="0"/>
                <w:sz w:val="14"/>
              </w:rPr>
              <w:t>Regulatory or contractual uncertainty</w:t>
            </w:r>
          </w:p>
        </w:tc>
        <w:tc>
          <w:tcPr>
            <w:tcW w:type="dxa" w:w="2016"/>
            <w:vAlign w:val="center"/>
          </w:tcPr>
          <w:p>
            <w:pPr>
              <w:spacing w:after="0"/>
            </w:pPr>
            <w:r/>
            <w:r>
              <w:rPr>
                <w:b w:val="0"/>
                <w:sz w:val="14"/>
              </w:rPr>
              <w:t>Low-Medium</w:t>
            </w:r>
          </w:p>
        </w:tc>
        <w:tc>
          <w:tcPr>
            <w:tcW w:type="dxa" w:w="2016"/>
            <w:vAlign w:val="center"/>
          </w:tcPr>
          <w:p>
            <w:pPr>
              <w:spacing w:after="0"/>
            </w:pPr>
            <w:r/>
            <w:r>
              <w:rPr>
                <w:b w:val="0"/>
                <w:sz w:val="14"/>
              </w:rPr>
              <w:t>High</w:t>
            </w:r>
          </w:p>
        </w:tc>
        <w:tc>
          <w:tcPr>
            <w:tcW w:type="dxa" w:w="2016"/>
            <w:vAlign w:val="center"/>
          </w:tcPr>
          <w:p>
            <w:pPr>
              <w:spacing w:after="0"/>
            </w:pPr>
            <w:r/>
            <w:r>
              <w:rPr>
                <w:b w:val="0"/>
                <w:sz w:val="14"/>
              </w:rPr>
              <w:t>Restrictions on data or deployment</w:t>
            </w:r>
          </w:p>
        </w:tc>
        <w:tc>
          <w:tcPr>
            <w:tcW w:type="dxa" w:w="2016"/>
            <w:vAlign w:val="center"/>
          </w:tcPr>
          <w:p>
            <w:pPr>
              <w:spacing w:after="0"/>
            </w:pPr>
            <w:r/>
            <w:r>
              <w:rPr>
                <w:b w:val="0"/>
                <w:sz w:val="14"/>
              </w:rPr>
              <w:t>Review relevant laws, contracts, and sector guidance before collection and launch; Project Lead</w:t>
            </w:r>
          </w:p>
        </w:tc>
      </w:tr>
      <w:tr>
        <w:tc>
          <w:tcPr>
            <w:tcW w:type="dxa" w:w="2016"/>
            <w:vAlign w:val="center"/>
          </w:tcPr>
          <w:p>
            <w:pPr>
              <w:spacing w:after="0"/>
            </w:pPr>
            <w:r/>
            <w:r>
              <w:rPr>
                <w:b w:val="0"/>
                <w:sz w:val="14"/>
              </w:rPr>
              <w:t>Staff skills and maintenance gap</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Medium</w:t>
            </w:r>
          </w:p>
        </w:tc>
        <w:tc>
          <w:tcPr>
            <w:tcW w:type="dxa" w:w="2016"/>
            <w:vAlign w:val="center"/>
          </w:tcPr>
          <w:p>
            <w:pPr>
              <w:spacing w:after="0"/>
            </w:pPr>
            <w:r/>
            <w:r>
              <w:rPr>
                <w:b w:val="0"/>
                <w:sz w:val="14"/>
              </w:rPr>
              <w:t>Model becomes outdated or unsupported</w:t>
            </w:r>
          </w:p>
        </w:tc>
        <w:tc>
          <w:tcPr>
            <w:tcW w:type="dxa" w:w="2016"/>
            <w:vAlign w:val="center"/>
          </w:tcPr>
          <w:p>
            <w:pPr>
              <w:spacing w:after="0"/>
            </w:pPr>
            <w:r/>
            <w:r>
              <w:rPr>
                <w:b w:val="0"/>
                <w:sz w:val="14"/>
              </w:rPr>
              <w:t>Training, runbooks, ownership, maintenance budget and partner support; Programme Lead</w:t>
            </w:r>
          </w:p>
        </w:tc>
      </w:tr>
    </w:tbl>
    <w:p/>
    <w:p>
      <w:pPr>
        <w:pStyle w:val="Heading2"/>
      </w:pPr>
      <w:r>
        <w:t>8.1 Risk scoring and escalation</w:t>
      </w:r>
    </w:p>
    <w:p>
      <w:r>
        <w:t>For a consistent register, assign likelihood and impact scores from 1 (low) to 5 (very high), then calculate risk score = likelihood × impact. As a suggested rule, scores 15–25 require immediate owner action and sponsor review; scores 8–14 require a documented mitigation and monthly monitoring; scores 1–7 can be monitored routinely. The team should not rely on the numeric score alone: any safety, privacy, or legal concern may require escalation.</w:t>
      </w:r>
    </w:p>
    <w:p>
      <w:pPr>
        <w:pStyle w:val="Heading1"/>
      </w:pPr>
      <w:r>
        <w:t>9. Impact Measurement and Business Case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4"/>
              </w:rPr>
              <w:t>Dimension</w:t>
            </w:r>
          </w:p>
        </w:tc>
        <w:tc>
          <w:tcPr>
            <w:tcW w:type="dxa" w:w="2520"/>
            <w:vAlign w:val="center"/>
            <w:shd w:fill="D9EAF7"/>
          </w:tcPr>
          <w:p>
            <w:pPr>
              <w:spacing w:after="0"/>
            </w:pPr>
            <w:r/>
            <w:r>
              <w:rPr>
                <w:b/>
                <w:sz w:val="14"/>
              </w:rPr>
              <w:t>Baseline to collect</w:t>
            </w:r>
          </w:p>
        </w:tc>
        <w:tc>
          <w:tcPr>
            <w:tcW w:type="dxa" w:w="2520"/>
            <w:vAlign w:val="center"/>
            <w:shd w:fill="D9EAF7"/>
          </w:tcPr>
          <w:p>
            <w:pPr>
              <w:spacing w:after="0"/>
            </w:pPr>
            <w:r/>
            <w:r>
              <w:rPr>
                <w:b/>
                <w:sz w:val="14"/>
              </w:rPr>
              <w:t>Pilot KPI</w:t>
            </w:r>
          </w:p>
        </w:tc>
        <w:tc>
          <w:tcPr>
            <w:tcW w:type="dxa" w:w="2520"/>
            <w:vAlign w:val="center"/>
            <w:shd w:fill="D9EAF7"/>
          </w:tcPr>
          <w:p>
            <w:pPr>
              <w:spacing w:after="0"/>
            </w:pPr>
            <w:r/>
            <w:r>
              <w:rPr>
                <w:b/>
                <w:sz w:val="14"/>
              </w:rPr>
              <w:t>Interpretation</w:t>
            </w:r>
          </w:p>
        </w:tc>
      </w:tr>
      <w:tr>
        <w:tc>
          <w:tcPr>
            <w:tcW w:type="dxa" w:w="2520"/>
            <w:vAlign w:val="center"/>
          </w:tcPr>
          <w:p>
            <w:pPr>
              <w:spacing w:after="0"/>
            </w:pPr>
            <w:r/>
            <w:r>
              <w:rPr>
                <w:b w:val="0"/>
                <w:sz w:val="14"/>
              </w:rPr>
              <w:t>Forecast quality</w:t>
            </w:r>
          </w:p>
        </w:tc>
        <w:tc>
          <w:tcPr>
            <w:tcW w:type="dxa" w:w="2520"/>
            <w:vAlign w:val="center"/>
          </w:tcPr>
          <w:p>
            <w:pPr>
              <w:spacing w:after="0"/>
            </w:pPr>
            <w:r/>
            <w:r>
              <w:rPr>
                <w:b w:val="0"/>
                <w:sz w:val="14"/>
              </w:rPr>
              <w:t>Historical forecast error or current planning accuracy</w:t>
            </w:r>
          </w:p>
        </w:tc>
        <w:tc>
          <w:tcPr>
            <w:tcW w:type="dxa" w:w="2520"/>
            <w:vAlign w:val="center"/>
          </w:tcPr>
          <w:p>
            <w:pPr>
              <w:spacing w:after="0"/>
            </w:pPr>
            <w:r/>
            <w:r>
              <w:rPr>
                <w:b w:val="0"/>
                <w:sz w:val="14"/>
              </w:rPr>
              <w:t>MAE/RMSE; bias by crop and location</w:t>
            </w:r>
          </w:p>
        </w:tc>
        <w:tc>
          <w:tcPr>
            <w:tcW w:type="dxa" w:w="2520"/>
            <w:vAlign w:val="center"/>
          </w:tcPr>
          <w:p>
            <w:pPr>
              <w:spacing w:after="0"/>
            </w:pPr>
            <w:r/>
            <w:r>
              <w:rPr>
                <w:b w:val="0"/>
                <w:sz w:val="14"/>
              </w:rPr>
              <w:t>Lower error is useful only if it improves a real decision</w:t>
            </w:r>
          </w:p>
        </w:tc>
      </w:tr>
      <w:tr>
        <w:tc>
          <w:tcPr>
            <w:tcW w:type="dxa" w:w="2520"/>
            <w:vAlign w:val="center"/>
          </w:tcPr>
          <w:p>
            <w:pPr>
              <w:spacing w:after="0"/>
            </w:pPr>
            <w:r/>
            <w:r>
              <w:rPr>
                <w:b w:val="0"/>
                <w:sz w:val="14"/>
              </w:rPr>
              <w:t>Resource efficiency</w:t>
            </w:r>
          </w:p>
        </w:tc>
        <w:tc>
          <w:tcPr>
            <w:tcW w:type="dxa" w:w="2520"/>
            <w:vAlign w:val="center"/>
          </w:tcPr>
          <w:p>
            <w:pPr>
              <w:spacing w:after="0"/>
            </w:pPr>
            <w:r/>
            <w:r>
              <w:rPr>
                <w:b w:val="0"/>
                <w:sz w:val="14"/>
              </w:rPr>
              <w:t>Water, fertilizer, pesticide or energy use per hectare</w:t>
            </w:r>
          </w:p>
        </w:tc>
        <w:tc>
          <w:tcPr>
            <w:tcW w:type="dxa" w:w="2520"/>
            <w:vAlign w:val="center"/>
          </w:tcPr>
          <w:p>
            <w:pPr>
              <w:spacing w:after="0"/>
            </w:pPr>
            <w:r/>
            <w:r>
              <w:rPr>
                <w:b w:val="0"/>
                <w:sz w:val="14"/>
              </w:rPr>
              <w:t>Change per hectare and per unit of output</w:t>
            </w:r>
          </w:p>
        </w:tc>
        <w:tc>
          <w:tcPr>
            <w:tcW w:type="dxa" w:w="2520"/>
            <w:vAlign w:val="center"/>
          </w:tcPr>
          <w:p>
            <w:pPr>
              <w:spacing w:after="0"/>
            </w:pPr>
            <w:r/>
            <w:r>
              <w:rPr>
                <w:b w:val="0"/>
                <w:sz w:val="14"/>
              </w:rPr>
              <w:t>Account for weather and crop differences</w:t>
            </w:r>
          </w:p>
        </w:tc>
      </w:tr>
      <w:tr>
        <w:tc>
          <w:tcPr>
            <w:tcW w:type="dxa" w:w="2520"/>
            <w:vAlign w:val="center"/>
          </w:tcPr>
          <w:p>
            <w:pPr>
              <w:spacing w:after="0"/>
            </w:pPr>
            <w:r/>
            <w:r>
              <w:rPr>
                <w:b w:val="0"/>
                <w:sz w:val="14"/>
              </w:rPr>
              <w:t>Crop outcomes</w:t>
            </w:r>
          </w:p>
        </w:tc>
        <w:tc>
          <w:tcPr>
            <w:tcW w:type="dxa" w:w="2520"/>
            <w:vAlign w:val="center"/>
          </w:tcPr>
          <w:p>
            <w:pPr>
              <w:spacing w:after="0"/>
            </w:pPr>
            <w:r/>
            <w:r>
              <w:rPr>
                <w:b w:val="0"/>
                <w:sz w:val="14"/>
              </w:rPr>
              <w:t>Yield and quality by field/season</w:t>
            </w:r>
          </w:p>
        </w:tc>
        <w:tc>
          <w:tcPr>
            <w:tcW w:type="dxa" w:w="2520"/>
            <w:vAlign w:val="center"/>
          </w:tcPr>
          <w:p>
            <w:pPr>
              <w:spacing w:after="0"/>
            </w:pPr>
            <w:r/>
            <w:r>
              <w:rPr>
                <w:b w:val="0"/>
                <w:sz w:val="14"/>
              </w:rPr>
              <w:t>Yield/quality difference versus baseline or comparison</w:t>
            </w:r>
          </w:p>
        </w:tc>
        <w:tc>
          <w:tcPr>
            <w:tcW w:type="dxa" w:w="2520"/>
            <w:vAlign w:val="center"/>
          </w:tcPr>
          <w:p>
            <w:pPr>
              <w:spacing w:after="0"/>
            </w:pPr>
            <w:r/>
            <w:r>
              <w:rPr>
                <w:b w:val="0"/>
                <w:sz w:val="14"/>
              </w:rPr>
              <w:t>Do not attribute all change to ML without a fair comparison</w:t>
            </w:r>
          </w:p>
        </w:tc>
      </w:tr>
      <w:tr>
        <w:tc>
          <w:tcPr>
            <w:tcW w:type="dxa" w:w="2520"/>
            <w:vAlign w:val="center"/>
          </w:tcPr>
          <w:p>
            <w:pPr>
              <w:spacing w:after="0"/>
            </w:pPr>
            <w:r/>
            <w:r>
              <w:rPr>
                <w:b w:val="0"/>
                <w:sz w:val="14"/>
              </w:rPr>
              <w:t>Operations</w:t>
            </w:r>
          </w:p>
        </w:tc>
        <w:tc>
          <w:tcPr>
            <w:tcW w:type="dxa" w:w="2520"/>
            <w:vAlign w:val="center"/>
          </w:tcPr>
          <w:p>
            <w:pPr>
              <w:spacing w:after="0"/>
            </w:pPr>
            <w:r/>
            <w:r>
              <w:rPr>
                <w:b w:val="0"/>
                <w:sz w:val="14"/>
              </w:rPr>
              <w:t>Stock-outs, waste, transport cost, planning time</w:t>
            </w:r>
          </w:p>
        </w:tc>
        <w:tc>
          <w:tcPr>
            <w:tcW w:type="dxa" w:w="2520"/>
            <w:vAlign w:val="center"/>
          </w:tcPr>
          <w:p>
            <w:pPr>
              <w:spacing w:after="0"/>
            </w:pPr>
            <w:r/>
            <w:r>
              <w:rPr>
                <w:b w:val="0"/>
                <w:sz w:val="14"/>
              </w:rPr>
              <w:t>Change in cost, waste, lead time and service level</w:t>
            </w:r>
          </w:p>
        </w:tc>
        <w:tc>
          <w:tcPr>
            <w:tcW w:type="dxa" w:w="2520"/>
            <w:vAlign w:val="center"/>
          </w:tcPr>
          <w:p>
            <w:pPr>
              <w:spacing w:after="0"/>
            </w:pPr>
            <w:r/>
            <w:r>
              <w:rPr>
                <w:b w:val="0"/>
                <w:sz w:val="14"/>
              </w:rPr>
              <w:t>Use finance-verified costs</w:t>
            </w:r>
          </w:p>
        </w:tc>
      </w:tr>
      <w:tr>
        <w:tc>
          <w:tcPr>
            <w:tcW w:type="dxa" w:w="2520"/>
            <w:vAlign w:val="center"/>
          </w:tcPr>
          <w:p>
            <w:pPr>
              <w:spacing w:after="0"/>
            </w:pPr>
            <w:r/>
            <w:r>
              <w:rPr>
                <w:b w:val="0"/>
                <w:sz w:val="14"/>
              </w:rPr>
              <w:t>Adoption and trust</w:t>
            </w:r>
          </w:p>
        </w:tc>
        <w:tc>
          <w:tcPr>
            <w:tcW w:type="dxa" w:w="2520"/>
            <w:vAlign w:val="center"/>
          </w:tcPr>
          <w:p>
            <w:pPr>
              <w:spacing w:after="0"/>
            </w:pPr>
            <w:r/>
            <w:r>
              <w:rPr>
                <w:b w:val="0"/>
                <w:sz w:val="14"/>
              </w:rPr>
              <w:t>Current use of advisory channels and satisfaction</w:t>
            </w:r>
          </w:p>
        </w:tc>
        <w:tc>
          <w:tcPr>
            <w:tcW w:type="dxa" w:w="2520"/>
            <w:vAlign w:val="center"/>
          </w:tcPr>
          <w:p>
            <w:pPr>
              <w:spacing w:after="0"/>
            </w:pPr>
            <w:r/>
            <w:r>
              <w:rPr>
                <w:b w:val="0"/>
                <w:sz w:val="14"/>
              </w:rPr>
              <w:t>Active use, action rate, satisfaction, complaints</w:t>
            </w:r>
          </w:p>
        </w:tc>
        <w:tc>
          <w:tcPr>
            <w:tcW w:type="dxa" w:w="2520"/>
            <w:vAlign w:val="center"/>
          </w:tcPr>
          <w:p>
            <w:pPr>
              <w:spacing w:after="0"/>
            </w:pPr>
            <w:r/>
            <w:r>
              <w:rPr>
                <w:b w:val="0"/>
                <w:sz w:val="14"/>
              </w:rPr>
              <w:t>High model accuracy alone does not ensure usefulness</w:t>
            </w:r>
          </w:p>
        </w:tc>
      </w:tr>
      <w:tr>
        <w:tc>
          <w:tcPr>
            <w:tcW w:type="dxa" w:w="2520"/>
            <w:vAlign w:val="center"/>
          </w:tcPr>
          <w:p>
            <w:pPr>
              <w:spacing w:after="0"/>
            </w:pPr>
            <w:r/>
            <w:r>
              <w:rPr>
                <w:b w:val="0"/>
                <w:sz w:val="14"/>
              </w:rPr>
              <w:t>Financial value</w:t>
            </w:r>
          </w:p>
        </w:tc>
        <w:tc>
          <w:tcPr>
            <w:tcW w:type="dxa" w:w="2520"/>
            <w:vAlign w:val="center"/>
          </w:tcPr>
          <w:p>
            <w:pPr>
              <w:spacing w:after="0"/>
            </w:pPr>
            <w:r/>
            <w:r>
              <w:rPr>
                <w:b w:val="0"/>
                <w:sz w:val="14"/>
              </w:rPr>
              <w:t>Current operating costs and avoidable losses</w:t>
            </w:r>
          </w:p>
        </w:tc>
        <w:tc>
          <w:tcPr>
            <w:tcW w:type="dxa" w:w="2520"/>
            <w:vAlign w:val="center"/>
          </w:tcPr>
          <w:p>
            <w:pPr>
              <w:spacing w:after="0"/>
            </w:pPr>
            <w:r/>
            <w:r>
              <w:rPr>
                <w:b w:val="0"/>
                <w:sz w:val="14"/>
              </w:rPr>
              <w:t>Net benefit, payback estimate, total cost of ownership</w:t>
            </w:r>
          </w:p>
        </w:tc>
        <w:tc>
          <w:tcPr>
            <w:tcW w:type="dxa" w:w="2520"/>
            <w:vAlign w:val="center"/>
          </w:tcPr>
          <w:p>
            <w:pPr>
              <w:spacing w:after="0"/>
            </w:pPr>
            <w:r/>
            <w:r>
              <w:rPr>
                <w:b w:val="0"/>
                <w:sz w:val="14"/>
              </w:rPr>
              <w:t>Include data, devices, training, cloud, support and maintenance</w:t>
            </w:r>
          </w:p>
        </w:tc>
      </w:tr>
    </w:tbl>
    <w:p/>
    <w:p>
      <w:r>
        <w:t>A pilot should set numeric targets only after the baseline and data feasibility are understood. For example, management may agree on an acceptable forecast error, a minimum adoption rate, or a reduction in planning time before the pilot begins. Targets must be documented as goals, not presented as achieved outcomes.</w:t>
      </w:r>
    </w:p>
    <w:p>
      <w:pPr>
        <w:pStyle w:val="Heading1"/>
      </w:pPr>
      <w:r>
        <w:t>10. Governance, Roles and Operating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6"/>
              </w:rPr>
              <w:t>Role</w:t>
            </w:r>
          </w:p>
        </w:tc>
        <w:tc>
          <w:tcPr>
            <w:tcW w:type="dxa" w:w="5040"/>
            <w:vAlign w:val="center"/>
            <w:shd w:fill="D9EAF7"/>
          </w:tcPr>
          <w:p>
            <w:pPr>
              <w:spacing w:after="0"/>
            </w:pPr>
            <w:r/>
            <w:r>
              <w:rPr>
                <w:b/>
                <w:sz w:val="16"/>
              </w:rPr>
              <w:t>Primary responsibility</w:t>
            </w:r>
          </w:p>
        </w:tc>
      </w:tr>
      <w:tr>
        <w:tc>
          <w:tcPr>
            <w:tcW w:type="dxa" w:w="5040"/>
            <w:vAlign w:val="center"/>
          </w:tcPr>
          <w:p>
            <w:pPr>
              <w:spacing w:after="0"/>
            </w:pPr>
            <w:r/>
            <w:r>
              <w:rPr>
                <w:b w:val="0"/>
                <w:sz w:val="16"/>
              </w:rPr>
              <w:t>Executive sponsor</w:t>
            </w:r>
          </w:p>
        </w:tc>
        <w:tc>
          <w:tcPr>
            <w:tcW w:type="dxa" w:w="5040"/>
            <w:vAlign w:val="center"/>
          </w:tcPr>
          <w:p>
            <w:pPr>
              <w:spacing w:after="0"/>
            </w:pPr>
            <w:r/>
            <w:r>
              <w:rPr>
                <w:b w:val="0"/>
                <w:sz w:val="16"/>
              </w:rPr>
              <w:t>Approves scope, budget, stage gates and final scale decision</w:t>
            </w:r>
          </w:p>
        </w:tc>
      </w:tr>
      <w:tr>
        <w:tc>
          <w:tcPr>
            <w:tcW w:type="dxa" w:w="5040"/>
            <w:vAlign w:val="center"/>
          </w:tcPr>
          <w:p>
            <w:pPr>
              <w:spacing w:after="0"/>
            </w:pPr>
            <w:r/>
            <w:r>
              <w:rPr>
                <w:b w:val="0"/>
                <w:sz w:val="16"/>
              </w:rPr>
              <w:t>Project manager</w:t>
            </w:r>
          </w:p>
        </w:tc>
        <w:tc>
          <w:tcPr>
            <w:tcW w:type="dxa" w:w="5040"/>
            <w:vAlign w:val="center"/>
          </w:tcPr>
          <w:p>
            <w:pPr>
              <w:spacing w:after="0"/>
            </w:pPr>
            <w:r/>
            <w:r>
              <w:rPr>
                <w:b w:val="0"/>
                <w:sz w:val="16"/>
              </w:rPr>
              <w:t>Timeline, dependencies, risk register, reporting and documentation</w:t>
            </w:r>
          </w:p>
        </w:tc>
      </w:tr>
      <w:tr>
        <w:tc>
          <w:tcPr>
            <w:tcW w:type="dxa" w:w="5040"/>
            <w:vAlign w:val="center"/>
          </w:tcPr>
          <w:p>
            <w:pPr>
              <w:spacing w:after="0"/>
            </w:pPr>
            <w:r/>
            <w:r>
              <w:rPr>
                <w:b w:val="0"/>
                <w:sz w:val="16"/>
              </w:rPr>
              <w:t>Agronomy lead</w:t>
            </w:r>
          </w:p>
        </w:tc>
        <w:tc>
          <w:tcPr>
            <w:tcW w:type="dxa" w:w="5040"/>
            <w:vAlign w:val="center"/>
          </w:tcPr>
          <w:p>
            <w:pPr>
              <w:spacing w:after="0"/>
            </w:pPr>
            <w:r/>
            <w:r>
              <w:rPr>
                <w:b w:val="0"/>
                <w:sz w:val="16"/>
              </w:rPr>
              <w:t>Validates crop relevance, reviews advice and handles escalations</w:t>
            </w:r>
          </w:p>
        </w:tc>
      </w:tr>
      <w:tr>
        <w:tc>
          <w:tcPr>
            <w:tcW w:type="dxa" w:w="5040"/>
            <w:vAlign w:val="center"/>
          </w:tcPr>
          <w:p>
            <w:pPr>
              <w:spacing w:after="0"/>
            </w:pPr>
            <w:r/>
            <w:r>
              <w:rPr>
                <w:b w:val="0"/>
                <w:sz w:val="16"/>
              </w:rPr>
              <w:t>Data/ML lead</w:t>
            </w:r>
          </w:p>
        </w:tc>
        <w:tc>
          <w:tcPr>
            <w:tcW w:type="dxa" w:w="5040"/>
            <w:vAlign w:val="center"/>
          </w:tcPr>
          <w:p>
            <w:pPr>
              <w:spacing w:after="0"/>
            </w:pPr>
            <w:r/>
            <w:r>
              <w:rPr>
                <w:b w:val="0"/>
                <w:sz w:val="16"/>
              </w:rPr>
              <w:t>Data pipeline, model development, evaluation, documentation and monitoring</w:t>
            </w:r>
          </w:p>
        </w:tc>
      </w:tr>
      <w:tr>
        <w:tc>
          <w:tcPr>
            <w:tcW w:type="dxa" w:w="5040"/>
            <w:vAlign w:val="center"/>
          </w:tcPr>
          <w:p>
            <w:pPr>
              <w:spacing w:after="0"/>
            </w:pPr>
            <w:r/>
            <w:r>
              <w:rPr>
                <w:b w:val="0"/>
                <w:sz w:val="16"/>
              </w:rPr>
              <w:t>Field/operations lead</w:t>
            </w:r>
          </w:p>
        </w:tc>
        <w:tc>
          <w:tcPr>
            <w:tcW w:type="dxa" w:w="5040"/>
            <w:vAlign w:val="center"/>
          </w:tcPr>
          <w:p>
            <w:pPr>
              <w:spacing w:after="0"/>
            </w:pPr>
            <w:r/>
            <w:r>
              <w:rPr>
                <w:b w:val="0"/>
                <w:sz w:val="16"/>
              </w:rPr>
              <w:t>Pilot coordination, training, feedback and outcome data</w:t>
            </w:r>
          </w:p>
        </w:tc>
      </w:tr>
      <w:tr>
        <w:tc>
          <w:tcPr>
            <w:tcW w:type="dxa" w:w="5040"/>
            <w:vAlign w:val="center"/>
          </w:tcPr>
          <w:p>
            <w:pPr>
              <w:spacing w:after="0"/>
            </w:pPr>
            <w:r/>
            <w:r>
              <w:rPr>
                <w:b w:val="0"/>
                <w:sz w:val="16"/>
              </w:rPr>
              <w:t>IT/security owner</w:t>
            </w:r>
          </w:p>
        </w:tc>
        <w:tc>
          <w:tcPr>
            <w:tcW w:type="dxa" w:w="5040"/>
            <w:vAlign w:val="center"/>
          </w:tcPr>
          <w:p>
            <w:pPr>
              <w:spacing w:after="0"/>
            </w:pPr>
            <w:r/>
            <w:r>
              <w:rPr>
                <w:b w:val="0"/>
                <w:sz w:val="16"/>
              </w:rPr>
              <w:t>Access controls, deployment, backup, integration and incident response</w:t>
            </w:r>
          </w:p>
        </w:tc>
      </w:tr>
      <w:tr>
        <w:tc>
          <w:tcPr>
            <w:tcW w:type="dxa" w:w="5040"/>
            <w:vAlign w:val="center"/>
          </w:tcPr>
          <w:p>
            <w:pPr>
              <w:spacing w:after="0"/>
            </w:pPr>
            <w:r/>
            <w:r>
              <w:rPr>
                <w:b w:val="0"/>
                <w:sz w:val="16"/>
              </w:rPr>
              <w:t>Finance/procurement</w:t>
            </w:r>
          </w:p>
        </w:tc>
        <w:tc>
          <w:tcPr>
            <w:tcW w:type="dxa" w:w="5040"/>
            <w:vAlign w:val="center"/>
          </w:tcPr>
          <w:p>
            <w:pPr>
              <w:spacing w:after="0"/>
            </w:pPr>
            <w:r/>
            <w:r>
              <w:rPr>
                <w:b w:val="0"/>
                <w:sz w:val="16"/>
              </w:rPr>
              <w:t>Cost validation, vendor review and benefit tracking</w:t>
            </w:r>
          </w:p>
        </w:tc>
      </w:tr>
    </w:tbl>
    <w:p/>
    <w:p>
      <w:pPr>
        <w:pStyle w:val="Heading1"/>
      </w:pPr>
      <w:r>
        <w:t>11. Budget Categories and Resource Plan</w:t>
      </w:r>
    </w:p>
    <w:p>
      <w:r>
        <w:t>A precise budget cannot be responsibly estimated until the pilot region, number of users, data sources, devices, and integration requirements are known. The business case should separately estimate staff time, data acquisition, field validation, cloud/computing, connectivity, software, training, travel, support, security, and contingency. Prefer existing data and low-cost delivery channels during the pilot. Release funding by phase, and require approval before adding sensors, expensive imagery, or large-scale platform integration.</w:t>
      </w:r>
    </w:p>
    <w:p>
      <w:pPr>
        <w:pStyle w:val="Heading1"/>
      </w:pPr>
      <w:r>
        <w:t>12. Change Management and Adoption</w:t>
      </w:r>
    </w:p>
    <w:p>
      <w:pPr>
        <w:pStyle w:val="ListNumber"/>
      </w:pPr>
      <w:r>
        <w:t>Invite farmers and field staff to define the problem before choosing technology.</w:t>
      </w:r>
    </w:p>
    <w:p>
      <w:pPr>
        <w:pStyle w:val="ListNumber"/>
      </w:pPr>
      <w:r>
        <w:t>Explain that predictions are estimates, not guarantees, and show when advice should be checked with an agronomist.</w:t>
      </w:r>
    </w:p>
    <w:p>
      <w:pPr>
        <w:pStyle w:val="ListNumber"/>
      </w:pPr>
      <w:r>
        <w:t>Use local languages and channels already used by the target community.</w:t>
      </w:r>
    </w:p>
    <w:p>
      <w:pPr>
        <w:pStyle w:val="ListNumber"/>
      </w:pPr>
      <w:r>
        <w:t>Train users with realistic examples and a simple escalation/contact route.</w:t>
      </w:r>
    </w:p>
    <w:p>
      <w:pPr>
        <w:pStyle w:val="ListNumber"/>
      </w:pPr>
      <w:r>
        <w:t>Collect structured feedback on usefulness, timing, clarity, and incorrect alerts.</w:t>
      </w:r>
    </w:p>
    <w:p>
      <w:pPr>
        <w:pStyle w:val="ListNumber"/>
      </w:pPr>
      <w:r>
        <w:t>Share pilot findings honestly, including null or negative results, before expanding.</w:t>
      </w:r>
    </w:p>
    <w:p>
      <w:pPr>
        <w:pStyle w:val="Heading1"/>
      </w:pPr>
      <w:r>
        <w:t>13. Expected Benefits and Limitations</w:t>
      </w:r>
    </w:p>
    <w:p>
      <w:r>
        <w:t>Potential benefits include more consistent yield forecasts, earlier identification of crop risks, better timing of field operations, more efficient use of water and inputs, improved procurement and inventory planning, and stronger evidence for management decisions. Environmental benefits may arise if recommendations genuinely reduce avoidable water or input use. These benefits depend on reliable data, local validity, farmer adoption, suitable infrastructure, and timely action.</w:t>
      </w:r>
    </w:p>
    <w:p>
      <w:r>
        <w:t>Important limitations include data gaps, changing weather, inconsistent field records, weak transferability between regions, false alerts, model drift, connectivity constraints, and the cost of maintaining a service after the pilot. ML cannot remove agricultural uncertainty. It should be treated as decision support alongside agronomic knowledge, local experience, and official advisories.</w:t>
      </w:r>
    </w:p>
    <w:p>
      <w:pPr>
        <w:pStyle w:val="Heading1"/>
      </w:pPr>
      <w:r>
        <w:t>14. Recommendations</w:t>
      </w:r>
    </w:p>
    <w:p>
      <w:pPr>
        <w:pStyle w:val="ListNumber"/>
      </w:pPr>
      <w:r>
        <w:t>Start with one crop, one defined region or operating unit, and one or two high-value decisions.</w:t>
      </w:r>
    </w:p>
    <w:p>
      <w:pPr>
        <w:pStyle w:val="ListNumber"/>
      </w:pPr>
      <w:r>
        <w:t>Secure data access, stakeholder participation, and a clear baseline before model development.</w:t>
      </w:r>
    </w:p>
    <w:p>
      <w:pPr>
        <w:pStyle w:val="ListNumber"/>
      </w:pPr>
      <w:r>
        <w:t>Build a simple baseline first and compare candidate models with time-aware validation.</w:t>
      </w:r>
    </w:p>
    <w:p>
      <w:pPr>
        <w:pStyle w:val="ListNumber"/>
      </w:pPr>
      <w:r>
        <w:t>Keep expert review for high-impact recommendations and provide a non-digital fallback.</w:t>
      </w:r>
    </w:p>
    <w:p>
      <w:pPr>
        <w:pStyle w:val="ListNumber"/>
      </w:pPr>
      <w:r>
        <w:t>Use stage gates so weak data, poor model performance, low adoption, or poor economics can trigger revision or stopping.</w:t>
      </w:r>
    </w:p>
    <w:p>
      <w:pPr>
        <w:pStyle w:val="ListNumber"/>
      </w:pPr>
      <w:r>
        <w:t>Measure financial, agronomic, environmental, and user outcomes; report uncertainty and limitations.</w:t>
      </w:r>
    </w:p>
    <w:p>
      <w:pPr>
        <w:pStyle w:val="ListNumber"/>
      </w:pPr>
      <w:r>
        <w:t>Scale only after a documented review of model quality, operating cost, fairness, security, and user benefit.</w:t>
      </w:r>
    </w:p>
    <w:p>
      <w:pPr>
        <w:pStyle w:val="Heading1"/>
      </w:pPr>
      <w:r>
        <w:t>15. Conclusion</w:t>
      </w:r>
    </w:p>
    <w:p>
      <w:r>
        <w:t>Machine learning can strengthen agribusiness when it is linked to a real decision, supported by trustworthy data, validated under local conditions, and maintained with clear ownership. The recommended 12-month strategy reduces risk by moving from discovery and data readiness to baseline modelling, a limited pilot, independent evaluation, and a formal scale decision. The success of the programme should be judged not by the sophistication of the algorithm but by whether it produces reliable, understandable, cost-effective improvements for farmers and agribusiness operations.</w:t>
      </w:r>
    </w:p>
    <w:p>
      <w:pPr>
        <w:pStyle w:val="Heading1"/>
      </w:pPr>
      <w:r>
        <w:t>References</w:t>
      </w:r>
    </w:p>
    <w:p>
      <w:pPr>
        <w:pStyle w:val="ListNumber"/>
      </w:pPr>
      <w:r>
        <w:t>Food and Agriculture Organization of the United Nations (FAO), AGRIS. (2025). Crop yield prediction using machine learning: An extensive and systematic literature review. https://agris.fao.org/search/en/records/6798b56ed6a63682f044df43</w:t>
      </w:r>
    </w:p>
    <w:p>
      <w:pPr>
        <w:pStyle w:val="ListNumber"/>
      </w:pPr>
      <w:r>
        <w:t>World Bank AI Repository. (n.d.). ICRISAT–Microsoft AI Sowing App for Weather Prediction. https://airepository.worldbank.org/use-case/icrisat-microsoft-ai-sowing-app-weather-prediction</w:t>
      </w:r>
    </w:p>
    <w:p>
      <w:pPr>
        <w:pStyle w:val="ListNumber"/>
      </w:pPr>
      <w:r>
        <w:t>Microsoft Stories India. (2017). Digital Agriculture: Farmers in India are using AI to increase crop yields. https://news.microsoft.com/en-in/features/ai-agriculture-icrisat-upl-india/</w:t>
      </w:r>
    </w:p>
    <w:p>
      <w:pPr>
        <w:pStyle w:val="ListNumber"/>
      </w:pPr>
      <w:r>
        <w:t>International Crops Research Institute for the Semi-Arid Tropics (ICRISAT). (2017). Microsoft and ICRISAT’s Intelligent Cloud Pilot for Agriculture in Andhra Pradesh Increase Crop Yield for Farmers. https://idc.icrisat.org/idc/index.php/microsoft-and-icrisats-intelligent-cloud-pilot-for-agriculture-in-andhra-pradesh-increase-crop-yield-for-farmers/</w:t>
      </w:r>
    </w:p>
    <w:p>
      <w:pPr>
        <w:pStyle w:val="ListNumber"/>
      </w:pPr>
      <w:r>
        <w:t>World Bank. (2026, August 27). Small AI Transforms Farming in India. https://www.worldbank.org/en/news/feature/2026/08/27/small-ai-transforms-farming-in-india</w:t>
      </w:r>
    </w:p>
    <w:p>
      <w:pPr>
        <w:pStyle w:val="ListNumber"/>
      </w:pPr>
      <w:r>
        <w:t>Ramesh, V., &amp; Kumaresan, P. (2024). Advancements in Machine Learning and Deep Learning Techniques for Crop Yield Prediction: A Comprehensive Review. FAO AGRIS record. https://agris.fao.org/search/en/records/67bca4c7e27dfa12518967b9</w:t>
      </w:r>
    </w:p>
    <w:p>
      <w:pPr>
        <w:pStyle w:val="ListNumber"/>
      </w:pPr>
      <w:r>
        <w:t>van Klompenburg, T., Kassahun, A., &amp; Catal, C. (2020). Crop yield prediction using machine learning: A systematic literature review. FAO AGRIS record. https://agris.fao.org/search/en/providers/122535/records/65dffe5363b8185d9cb0924c</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