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0"/>
        </w:rPr>
        <w:t>Implementation Timeline and Risk Register</w:t>
      </w:r>
    </w:p>
    <w:p>
      <w:pPr>
        <w:jc w:val="center"/>
      </w:pPr>
      <w:r>
        <w:rPr>
          <w:color w:val="465A69"/>
          <w:sz w:val="28"/>
        </w:rPr>
        <w:t>Supporting Document | Week 1</w:t>
      </w:r>
    </w:p>
    <w:p>
      <w:r>
        <w:br/>
      </w:r>
    </w:p>
    <w:p>
      <w:pPr>
        <w:jc w:val="center"/>
      </w:pPr>
      <w:r>
        <w:rPr>
          <w:b/>
          <w:sz w:val="32"/>
        </w:rPr>
        <w:t>Prepared by</w:t>
        <w:br/>
        <w:t>Ruchi Ambatkar</w:t>
      </w:r>
    </w:p>
    <w:p>
      <w:pPr>
        <w:spacing w:before="600"/>
        <w:jc w:val="center"/>
      </w:pPr>
      <w:r>
        <w:rPr>
          <w:sz w:val="20"/>
        </w:rPr>
        <w:t>Prepared: October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supporting document provides a working schedule, milestone gates, and a risk register for the proposed 12-month ML agribusiness programme. The schedule is a planning proposal and should be adjusted to the crop calendar and local operating conditions.</w:t>
      </w:r>
    </w:p>
    <w:p>
      <w:pPr>
        <w:pStyle w:val="Heading1"/>
      </w:pPr>
      <w:r>
        <w:t>12-Month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Month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Focus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 tasks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Deliverable / approval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Stakeholder interviews, choose crop/region, map decisions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charter and scope sign-off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audit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 sources, ownership, permission, completeness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inventory and quality report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preparation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Clean, standardize, define data dictionary and access rules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data-readiness gate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metrics and splits; create simple baseline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and validation plan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build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 candidate yield/risk models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 model comparison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Prototype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Dashboard/SMS mock-up; usability and security review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Prototype and model card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 preparation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 users, define fallback and incident route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 readiness checklist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pilot, log predictions, actions, feedback and incidents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 activity report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errors, data drift, adoption and subgroup results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Interim evaluation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 review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Compare outcomes and costs against baseline/comparison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 and cost-benefit report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 planning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 support, integration, budget and ownership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 roadmap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 evidence, lessons, residual risks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Scale / revise / stop decision</w:t>
            </w:r>
          </w:p>
        </w:tc>
      </w:tr>
    </w:tbl>
    <w:p/>
    <w:p>
      <w:pPr>
        <w:pStyle w:val="Heading1"/>
      </w:pPr>
      <w:r>
        <w:t>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Risk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Initial rating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Mitigation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Owner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Trigger for escalation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R1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Poor or incomplete data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 profiling; quality gates; record gaps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Key variables missing or unreliable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Unusual weather / changing climate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Seasonal validation; uncertainty; monitoring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Agronomy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rises materially in current season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R3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Unequal model performance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Evaluate by crop, region, farm size; local review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Subgroup errors exceed agreed tolerance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R4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Low adoption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Co-design, local language, training, feedback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Usage or action rate below target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R5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Wrong high-impact advice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Expert review, thresholds, fallback, audit trail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Agronomy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Any serious adverse outcome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R6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Privacy breach / unauthorized use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 minimization, role access, retention, response plan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 Owner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Any suspected exposure or complaint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R7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Connectivity failure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SMS/voice fallback, low-bandwidth workflow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Advisory delivery repeatedly delayed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R8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 incident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Updates, access controls, backups, logs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Suspicious access or service compromise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R9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Budget overrun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Stage-gated funding, cost tracking, stop criteria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Sponsor/Finance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Spend exceeds approved tolerance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R10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Maintenance/skills gap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Named owner, runbooks, training and support budget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Programme Lead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owner or funding for ongoing operation</w:t>
            </w:r>
          </w:p>
        </w:tc>
      </w:tr>
    </w:tbl>
    <w:p/>
    <w:p>
      <w:pPr>
        <w:pStyle w:val="Heading1"/>
      </w:pPr>
      <w:r>
        <w:t>Risk Scoring</w:t>
      </w:r>
    </w:p>
    <w:p>
      <w:r>
        <w:t>Score each risk from 1 to 5 for likelihood and impact. Multiply the two scores. Suggested thresholds: 15–25 = immediate action and sponsor review; 8–14 = documented mitigation and monthly review; 1–7 = routine monitoring. Safety, privacy, and legal risks must be escalated even if a numerical score is low.</w:t>
      </w:r>
    </w:p>
    <w:p>
      <w:pPr>
        <w:pStyle w:val="Heading1"/>
      </w:pPr>
      <w:r>
        <w:t>Pilot Decision Gates</w:t>
      </w:r>
    </w:p>
    <w:p>
      <w:pPr>
        <w:pStyle w:val="ListBullet"/>
      </w:pPr>
      <w:r>
        <w:t>Gate 1 — Data: permissions and minimum data quality confirmed.</w:t>
      </w:r>
    </w:p>
    <w:p>
      <w:pPr>
        <w:pStyle w:val="ListBullet"/>
      </w:pPr>
      <w:r>
        <w:t>Gate 2 — Model: validation results meet a pre-agreed threshold and are better than or operationally useful compared with the baseline.</w:t>
      </w:r>
    </w:p>
    <w:p>
      <w:pPr>
        <w:pStyle w:val="ListBullet"/>
      </w:pPr>
      <w:r>
        <w:t>Gate 3 — Safety/usability: agronomy review, user training, fallback channel and incident route are ready.</w:t>
      </w:r>
    </w:p>
    <w:p>
      <w:pPr>
        <w:pStyle w:val="ListBullet"/>
      </w:pPr>
      <w:r>
        <w:t>Gate 4 — Impact: adoption, operational outcome, cost, and subgroup performance reviewed.</w:t>
      </w:r>
    </w:p>
    <w:p>
      <w:pPr>
        <w:pStyle w:val="ListBullet"/>
      </w:pPr>
      <w:r>
        <w:t>Gate 5 — Scale: sponsor approves only if expected benefits, maintenance capacity, and risk controls are credible.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