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240" w:before="0" w:line="276" w:lineRule="auto"/>
        <w:ind w:firstLine="0" w:start="0"/>
        <w:jc w:val="center"/>
      </w:pPr>
      <w:r>
        <w:rPr>
          <w:rFonts w:ascii="Calibri (MS)" w:hAnsi="Calibri (MS)" w:cs="Calibri (MS)" w:eastAsia="Calibri (MS)"/>
          <w:color w:val="17365d"/>
          <w:sz w:val="52"/>
          <w:szCs w:val="52"/>
        </w:rPr>
        <w:t>STATISTICAL ANALYSIS AND HYPOTHESIS TESTING</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w:hAnsi="Cambria" w:cs="Cambria" w:eastAsia="Cambria"/>
          <w:color w:val="000000"/>
          <w:sz w:val="22"/>
          <w:szCs w:val="22"/>
        </w:rPr>
        <w:t>Project: Statistical Analysis of Study Time and Academic Performance</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w:hAnsi="Cambria" w:cs="Cambria" w:eastAsia="Cambria"/>
          <w:color w:val="000000"/>
          <w:sz w:val="22"/>
          <w:szCs w:val="22"/>
        </w:rPr>
        <w:t>Week 3 Python Data Science Task</w:t>
      </w:r>
      <w:r>
        <w:rPr>
          <w:rFonts w:ascii="Cambria" w:hAnsi="Cambria" w:cs="Cambria" w:eastAsia="Cambria"/>
          <w:color w:val="000000"/>
          <w:sz w:val="22"/>
          <w:szCs w:val="22"/>
        </w:rPr>
        <w:t xml:space="preserve">
</w:t>
      </w:r>
    </w:p>
    <w:p>
      <w:pPr>
        <w:spacing w:after="240" w:before="0" w:line="276" w:lineRule="auto"/>
        <w:ind w:firstLine="0" w:start="0"/>
        <w:jc w:val="center"/>
      </w:pPr>
      <w:r>
        <w:rPr>
          <w:rFonts w:ascii="Cambria" w:hAnsi="Cambria" w:cs="Cambria" w:eastAsia="Cambria"/>
          <w:color w:val="000000"/>
          <w:sz w:val="22"/>
          <w:szCs w:val="22"/>
        </w:rPr>
        <w:t xml:space="preserve">Submitted by: </w:t>
      </w:r>
      <w:r>
        <w:rPr>
          <w:rFonts w:ascii="Cambria" w:hAnsi="Cambria" w:cs="Cambria" w:eastAsia="Cambria"/>
          <w:color w:val="000000"/>
          <w:sz w:val="22"/>
          <w:szCs w:val="22"/>
        </w:rPr>
        <w:t>Ruchi Ambatkar</w:t>
      </w:r>
      <w:r>
        <w:rPr>
          <w:rFonts w:ascii="Cambria" w:hAnsi="Cambria" w:cs="Cambria" w:eastAsia="Cambria"/>
          <w:color w:val="000000"/>
          <w:sz w:val="22"/>
          <w:szCs w:val="22"/>
        </w:rPr>
        <w:t xml:space="preserve">
</w:t>
      </w:r>
    </w:p>
    <w:p>
      <w:pPr>
        <w:spacing w:after="240" w:before="0" w:line="276" w:lineRule="auto"/>
        <w:ind w:firstLine="0" w:start="0"/>
        <w:jc w:val="center"/>
      </w:pPr>
      <w:r>
        <w:rPr>
          <w:rFonts w:ascii="Cambria" w:hAnsi="Cambria" w:cs="Cambria" w:eastAsia="Cambria"/>
          <w:color w:val="000000"/>
          <w:sz w:val="22"/>
          <w:szCs w:val="22"/>
        </w:rPr>
        <w:t xml:space="preserve"> </w:t>
      </w:r>
      <w:r>
        <w:rPr>
          <w:rFonts w:ascii="Cambria" w:hAnsi="Cambria" w:cs="Cambria" w:eastAsia="Cambria"/>
          <w:color w:val="000000"/>
          <w:sz w:val="22"/>
          <w:szCs w:val="22"/>
        </w:rPr>
        <w:t>Tools: Python, Pandas, SciPy, Statsmodels, Matplotlib and Seaborn</w:t>
      </w: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Abstract</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This project investigates the relationship between students' reported weekly study time and final mathematics grades using the UCI Student Performance dataset. Python is used for data preparation, visualization and statistical hypothesis testing. Spearman rank correlation is the primary analysis, while Welch's independent-samples t-test, one-way ANOVA and linear regression provide supplementary perspectives. The findings are interpreted using a 5% significance level. Because the dataset is observational, the results describe associations rather than establishing causation.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 Introduction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Statistical analysis enables researchers to investigate patterns in data and evaluate evidence for relationships between variables. In education, reported study habits may be associated with academic performance. This project examines that relationship using student data and statistical methods implemented in Python.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2. Objectives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0"/>
          <w:szCs w:val="20"/>
        </w:rPr>
        <w:t>Inspect and prepare a public student performance dataset.</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0"/>
          <w:szCs w:val="20"/>
        </w:rPr>
        <w:t>Summarize final mathematics grades and study-time categories.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0"/>
          <w:szCs w:val="20"/>
        </w:rPr>
        <w:t>Visualize the distribution of grades and group differences.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0"/>
          <w:szCs w:val="20"/>
        </w:rPr>
        <w:t>Test the association between study time and final grades.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0"/>
          <w:szCs w:val="20"/>
        </w:rPr>
        <w:t>Compare group means and calculate a confidence interval.</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0"/>
          <w:szCs w:val="20"/>
        </w:rPr>
        <w:t>Interpret the statistical findings and their limitations.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3. Dataset 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analysis uses the UCI Student Performance mathematics dataset. The original dataset contains 395 student records and 33 columns. The prepared analysis contains 395 valid records for the selected variables.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studytime variable represents reported weekly study time in four ordered categories. G3 represents the final mathematics grade on a scale from 0 to 20.</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4. Research Question and Hypotheses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Research question: Is there a statistically significant monotonic association between reported study time and final mathematics grades?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Null hypothesis (H0): There is no monotonic association between study time and final mathematics grades in the population.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Alternative hypothesis (H1): There is a monotonic association between study time and final mathematics grades in the population.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significance level is alpha = 0.05. A p-value below 0.05 is treated as evidence against the corresponding null hypothesis.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5. Methodology</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dataset was loaded using Pandas and the relevant variables were checked for missing values and valid ranges. Exploratory visualizations were created using Matplotlib and Seaborn. Spearman correlation assessed the monotonic association between the ordinal study-time categories and final grades. Welch's t-test compared mean grades between categories 1-2 and categories 3-4. One-way ANOVA compared means across all four categories. Ordinary least squares regression summarized the coded linear trend.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6. Descriptive Statistics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09"/>
        <w:gridCol w:w="3009"/>
        <w:gridCol w:w="3009"/>
      </w:tblGrid>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Statistic</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Study Time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Final Grade (G3)</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count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395.000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395.000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mean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2.035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10.415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std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0.839</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4.581</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min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1.000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0.000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25%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1.000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8.000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50%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2.000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11.000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75%</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2.000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14.000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max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4.000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20.000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libri (MS) Bold" w:hAnsi="Calibri (MS) Bold" w:cs="Calibri (MS) Bold" w:eastAsia="Calibri (MS) Bold"/>
          <w:b/>
          <w:bCs/>
          <w:color w:val="365f91"/>
          <w:sz w:val="28"/>
          <w:szCs w:val="28"/>
        </w:rPr>
        <w:t>7. Visual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819927" cy="2646234"/>
            <wp:docPr id="0" name="Drawing 0" descr="c12518b9b118b16d73884a7ca21aa22f.png"/>
            <wp:cNvGraphicFramePr>
              <a:graphicFrameLocks noChangeAspect="true"/>
            </wp:cNvGraphicFramePr>
            <a:graphic>
              <a:graphicData uri="http://schemas.openxmlformats.org/drawingml/2006/picture">
                <pic:pic xmlns:pic="http://schemas.openxmlformats.org/drawingml/2006/picture">
                  <pic:nvPicPr>
                    <pic:cNvPr id="0" name="Picture 0" descr="c12518b9b118b16d73884a7ca21aa22f.png"/>
                    <pic:cNvPicPr>
                      <a:picLocks noChangeAspect="true"/>
                    </pic:cNvPicPr>
                  </pic:nvPicPr>
                  <pic:blipFill>
                    <a:blip r:embed="rId3"/>
                    <a:srcRect l="0" t="0" r="0" b="0"/>
                    <a:stretch>
                      <a:fillRect/>
                    </a:stretch>
                  </pic:blipFill>
                  <pic:spPr>
                    <a:xfrm flipH="false" flipV="false">
                      <a:off x="0" y="0"/>
                      <a:ext cx="4819927" cy="2646234"/>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w:hAnsi="Cambria" w:cs="Cambria" w:eastAsia="Cambria"/>
          <w:color w:val="000000"/>
          <w:sz w:val="22"/>
          <w:szCs w:val="22"/>
        </w:rPr>
        <w:t>Figure 1: Distribution of final mathematics grades.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819927" cy="2642424"/>
            <wp:docPr id="1" name="Drawing 1" descr="bee0ec1de35398471aeb08d0920e5222.png"/>
            <wp:cNvGraphicFramePr>
              <a:graphicFrameLocks noChangeAspect="true"/>
            </wp:cNvGraphicFramePr>
            <a:graphic>
              <a:graphicData uri="http://schemas.openxmlformats.org/drawingml/2006/picture">
                <pic:pic xmlns:pic="http://schemas.openxmlformats.org/drawingml/2006/picture">
                  <pic:nvPicPr>
                    <pic:cNvPr id="0" name="Picture 1" descr="bee0ec1de35398471aeb08d0920e5222.png"/>
                    <pic:cNvPicPr>
                      <a:picLocks noChangeAspect="true"/>
                    </pic:cNvPicPr>
                  </pic:nvPicPr>
                  <pic:blipFill>
                    <a:blip r:embed="rId4"/>
                    <a:srcRect l="0" t="0" r="0" b="0"/>
                    <a:stretch>
                      <a:fillRect/>
                    </a:stretch>
                  </pic:blipFill>
                  <pic:spPr>
                    <a:xfrm flipH="false" flipV="false">
                      <a:off x="0" y="0"/>
                      <a:ext cx="4819927" cy="2642424"/>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w:hAnsi="Cambria" w:cs="Cambria" w:eastAsia="Cambria"/>
          <w:color w:val="000000"/>
          <w:sz w:val="22"/>
          <w:szCs w:val="22"/>
        </w:rPr>
        <w:t>Figure 2: Final grades by study-time category.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819927" cy="2644417"/>
            <wp:docPr id="2" name="Drawing 2" descr="449e4598b1a4d2d4becfa410f0cb2c7a.png"/>
            <wp:cNvGraphicFramePr>
              <a:graphicFrameLocks noChangeAspect="true"/>
            </wp:cNvGraphicFramePr>
            <a:graphic>
              <a:graphicData uri="http://schemas.openxmlformats.org/drawingml/2006/picture">
                <pic:pic xmlns:pic="http://schemas.openxmlformats.org/drawingml/2006/picture">
                  <pic:nvPicPr>
                    <pic:cNvPr id="0" name="Picture 2" descr="449e4598b1a4d2d4becfa410f0cb2c7a.png"/>
                    <pic:cNvPicPr>
                      <a:picLocks noChangeAspect="true"/>
                    </pic:cNvPicPr>
                  </pic:nvPicPr>
                  <pic:blipFill>
                    <a:blip r:embed="rId5"/>
                    <a:srcRect l="0" t="0" r="0" b="0"/>
                    <a:stretch>
                      <a:fillRect/>
                    </a:stretch>
                  </pic:blipFill>
                  <pic:spPr>
                    <a:xfrm flipH="false" flipV="false">
                      <a:off x="0" y="0"/>
                      <a:ext cx="4819927" cy="2644417"/>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w:hAnsi="Cambria" w:cs="Cambria" w:eastAsia="Cambria"/>
          <w:color w:val="000000"/>
          <w:sz w:val="22"/>
          <w:szCs w:val="22"/>
        </w:rPr>
        <w:t>Figure 3: Average final grade by study-time category.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819927" cy="2642424"/>
            <wp:docPr id="3" name="Drawing 3" descr="afdbd6025d948ffa4fdcb61f6407bf28.png"/>
            <wp:cNvGraphicFramePr>
              <a:graphicFrameLocks noChangeAspect="true"/>
            </wp:cNvGraphicFramePr>
            <a:graphic>
              <a:graphicData uri="http://schemas.openxmlformats.org/drawingml/2006/picture">
                <pic:pic xmlns:pic="http://schemas.openxmlformats.org/drawingml/2006/picture">
                  <pic:nvPicPr>
                    <pic:cNvPr id="0" name="Picture 3" descr="afdbd6025d948ffa4fdcb61f6407bf28.png"/>
                    <pic:cNvPicPr>
                      <a:picLocks noChangeAspect="true"/>
                    </pic:cNvPicPr>
                  </pic:nvPicPr>
                  <pic:blipFill>
                    <a:blip r:embed="rId6"/>
                    <a:srcRect l="0" t="0" r="0" b="0"/>
                    <a:stretch>
                      <a:fillRect/>
                    </a:stretch>
                  </pic:blipFill>
                  <pic:spPr>
                    <a:xfrm flipH="false" flipV="false">
                      <a:off x="0" y="0"/>
                      <a:ext cx="4819927" cy="2642424"/>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mbria" w:hAnsi="Cambria" w:cs="Cambria" w:eastAsia="Cambria"/>
          <w:color w:val="000000"/>
          <w:sz w:val="22"/>
          <w:szCs w:val="22"/>
        </w:rPr>
        <w:t>Figure 4: Individual grades across study-time categories.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8. Spearman Rank Correlation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Spearman correlation coefficient: 0.1052</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P-value: 0.036674</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Decision: Reject the null hypothesis for the Spearman test. The result provides evidence of a monotonic association.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9. Welch's Independent-Samples t-Test</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Lower study-time group size: 303</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Higher study-time group size: 92</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Lower group mean: 10.129</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Higher group mean: 11.359</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Mean difference (higher minus lower): 1.230</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t-statistic: 2.1831</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P-value: 0.030669</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95% confidence interval for the mean difference: (0.116, 2.344)</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Decision: Reject the null hypothesis of equal population means for this two-group comparison.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10. One-Way ANOVA</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F-statistic: 1.7278</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P-value: 0.160723</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Decision: Fail to reject the null hypothesis that all four population means are equal.</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11. Regression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Estimated slope for study-time category: 0.5340</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95% confidence interval for the slope: (-0.0048, 1.0728)</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Regression p-value for the slope: 0.052061</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regression slope describes the estimated change in grade associated with a one-category increase in the coded study-time variable. It does not represent the effect of one additional hour.</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12. Limitations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study uses observational data and cannot establish causation. Study time is reported in broad categories rather than exact hours. Other factors, including prior achievement, attendance, motivation and family circumstances, may influence grades. Statistical assumptions should be checked before drawing firm conclusions. The findings may not generalize to every student population.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13. Conclusion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Spearman test produced a correlation coefficient of 0.1052 and a p-value of 0.036674. The primary test provides evidence of a statistically significant monotonic association at the 5% level. The Welch t-test and ANOVA provide supplementary comparisons of academic performance across study-time groups. These results should be interpreted alongside confidence intervals, test assumptions and the limitations of observational data. The analysis does not establish that study time alone causes differences in grades.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14. References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0"/>
          <w:szCs w:val="20"/>
        </w:rPr>
        <w:t>Cortez, P., and Silva, A. M. G. (2008). Using Data Mining to Predict Secondary School Student Performance. FUBUTEC 2008.</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0"/>
          <w:szCs w:val="20"/>
        </w:rPr>
        <w:t>UCI Machine Learning Repository. Student Performance Dataset. https://archive.ics.uci.edu/dataset/320/student+performance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0"/>
          <w:szCs w:val="20"/>
        </w:rPr>
        <w:t>SciPy Documentation: https://docs.scipy.org/doc/scipy/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0"/>
          <w:szCs w:val="20"/>
        </w:rPr>
        <w:t>Statsmodels Documentation: https://www.statsmodels.org/</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0"/>
          <w:szCs w:val="20"/>
        </w:rPr>
        <w:t>Pandas Documentation: https://pandas.pydata.org/docs/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Bold">
    <w:panose1 w:val="020B0704020202020204"/>
    <w:charset w:characterSet="1"/>
    <w:embedBold r:id="rId3"/>
  </w:font>
  <w:font w:name="Arimo">
    <w:panose1 w:val="020B0604020202020204"/>
    <w:charset w:characterSet="1"/>
    <w:embedRegular r:id="rId4"/>
  </w:font>
  <w:font w:name="Cambria">
    <w:panose1 w:val="02040503050406030204"/>
    <w:charset w:characterSet="1"/>
  </w:font>
  <w:font w:name="Calibri (MS) Bold">
    <w:panose1 w:val="020F0702030404030204"/>
    <w:charset w:characterSet="1"/>
  </w:font>
  <w:font w:name="Calibri (MS)">
    <w:panose1 w:val="020F0502020204030204"/>
    <w:charset w:characterSet="1"/>
  </w:font>
  <w:font w:name="Arial Italics">
    <w:panose1 w:val="020B0604020202090204"/>
    <w:charset w:characterSet="1"/>
  </w:font>
  <w:font w:name="Arial Bold Italics">
    <w:panose1 w:val="020B0704020202090204"/>
    <w:charset w:characterSet="1"/>
  </w:font>
  <w:font w:name="Arial">
    <w:panose1 w:val="020B0604020202020204"/>
    <w:charset w:characterSet="1"/>
  </w:font>
  <w:font w:name="Arial Bold">
    <w:panose1 w:val="020B070402020202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2026-10-04T15:20:50Z</dcterms:created>
  <dc:creator>Apache POI</dc:creator>
  <dc:title>Week3_Hypothesis_Testing_Report.docx</dc:title>
</cp:coreProperties>
</file>