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3D1D8" w14:textId="77777777" w:rsidR="007266F7" w:rsidRPr="007266F7" w:rsidRDefault="007266F7" w:rsidP="007266F7">
      <w:pPr>
        <w:jc w:val="center"/>
        <w:rPr>
          <w:b/>
          <w:bCs/>
          <w:sz w:val="28"/>
          <w:szCs w:val="28"/>
        </w:rPr>
      </w:pPr>
      <w:r w:rsidRPr="007266F7">
        <w:rPr>
          <w:b/>
          <w:bCs/>
          <w:sz w:val="28"/>
          <w:szCs w:val="28"/>
        </w:rPr>
        <w:t>Dashboard Documentation: Financial Health &amp; KPIs</w:t>
      </w:r>
    </w:p>
    <w:p w14:paraId="1A1623F6" w14:textId="77777777" w:rsidR="007266F7" w:rsidRPr="007266F7" w:rsidRDefault="007266F7" w:rsidP="007266F7">
      <w:pPr>
        <w:pStyle w:val="NoSpacing"/>
        <w:rPr>
          <w:sz w:val="22"/>
          <w:szCs w:val="22"/>
        </w:rPr>
      </w:pPr>
      <w:r w:rsidRPr="007266F7">
        <w:rPr>
          <w:sz w:val="22"/>
          <w:szCs w:val="22"/>
        </w:rPr>
        <w:t xml:space="preserve">This document outlines the business logic, analytical insights, and underlying assumptions used to build the Power BI dashboard for </w:t>
      </w:r>
      <w:r w:rsidRPr="007266F7">
        <w:rPr>
          <w:b/>
          <w:bCs/>
          <w:sz w:val="22"/>
          <w:szCs w:val="22"/>
        </w:rPr>
        <w:t>The Finance Group</w:t>
      </w:r>
      <w:r w:rsidRPr="007266F7">
        <w:rPr>
          <w:sz w:val="22"/>
          <w:szCs w:val="22"/>
        </w:rPr>
        <w:t>.</w:t>
      </w:r>
    </w:p>
    <w:p w14:paraId="5E6E5BB3" w14:textId="77777777" w:rsidR="007266F7" w:rsidRPr="007266F7" w:rsidRDefault="007266F7" w:rsidP="007266F7">
      <w:pPr>
        <w:jc w:val="both"/>
      </w:pPr>
      <w:r w:rsidRPr="007266F7">
        <w:rPr>
          <w:sz w:val="20"/>
          <w:szCs w:val="20"/>
        </w:rPr>
        <w:pict w14:anchorId="5DDA6410">
          <v:rect id="_x0000_i1049" style="width:0;height:1.5pt" o:hralign="center" o:hrstd="t" o:hrnoshade="t" o:hr="t" fillcolor="gray" stroked="f"/>
        </w:pict>
      </w:r>
    </w:p>
    <w:p w14:paraId="4AC0B8DE" w14:textId="77777777" w:rsidR="007266F7" w:rsidRPr="007266F7" w:rsidRDefault="007266F7" w:rsidP="007266F7">
      <w:pPr>
        <w:jc w:val="both"/>
        <w:rPr>
          <w:b/>
          <w:bCs/>
        </w:rPr>
      </w:pPr>
      <w:r w:rsidRPr="007266F7">
        <w:rPr>
          <w:b/>
          <w:bCs/>
        </w:rPr>
        <w:t>1. Core Business Logic</w:t>
      </w:r>
    </w:p>
    <w:p w14:paraId="5E810A7E" w14:textId="77777777" w:rsidR="007266F7" w:rsidRPr="007266F7" w:rsidRDefault="007266F7" w:rsidP="007266F7">
      <w:pPr>
        <w:jc w:val="both"/>
        <w:rPr>
          <w:sz w:val="22"/>
          <w:szCs w:val="22"/>
        </w:rPr>
      </w:pPr>
      <w:r w:rsidRPr="007266F7">
        <w:rPr>
          <w:sz w:val="22"/>
          <w:szCs w:val="22"/>
        </w:rPr>
        <w:t>To ensure accuracy across different business units, the following logic was applied:</w:t>
      </w:r>
    </w:p>
    <w:p w14:paraId="177C688E" w14:textId="61776186" w:rsidR="007266F7" w:rsidRPr="007266F7" w:rsidRDefault="007266F7" w:rsidP="007266F7">
      <w:pPr>
        <w:pStyle w:val="NoSpacing"/>
        <w:numPr>
          <w:ilvl w:val="0"/>
          <w:numId w:val="5"/>
        </w:numPr>
        <w:rPr>
          <w:sz w:val="22"/>
          <w:szCs w:val="22"/>
        </w:rPr>
      </w:pPr>
      <w:r w:rsidRPr="007266F7">
        <w:rPr>
          <w:b/>
          <w:bCs/>
          <w:sz w:val="22"/>
          <w:szCs w:val="22"/>
        </w:rPr>
        <w:t xml:space="preserve">Data </w:t>
      </w:r>
      <w:r w:rsidRPr="007266F7">
        <w:rPr>
          <w:b/>
          <w:bCs/>
          <w:sz w:val="22"/>
          <w:szCs w:val="22"/>
        </w:rPr>
        <w:t>Modelling</w:t>
      </w:r>
      <w:r w:rsidRPr="007266F7">
        <w:rPr>
          <w:b/>
          <w:bCs/>
          <w:sz w:val="22"/>
          <w:szCs w:val="22"/>
        </w:rPr>
        <w:t xml:space="preserve"> (Star Schema):</w:t>
      </w:r>
      <w:r w:rsidRPr="007266F7">
        <w:rPr>
          <w:sz w:val="22"/>
          <w:szCs w:val="22"/>
        </w:rPr>
        <w:t xml:space="preserve"> A </w:t>
      </w:r>
      <w:r w:rsidRPr="007266F7">
        <w:rPr>
          <w:sz w:val="22"/>
          <w:szCs w:val="22"/>
        </w:rPr>
        <w:t>centralised</w:t>
      </w:r>
      <w:r w:rsidRPr="007266F7">
        <w:rPr>
          <w:sz w:val="22"/>
          <w:szCs w:val="22"/>
        </w:rPr>
        <w:t xml:space="preserve"> </w:t>
      </w:r>
      <w:proofErr w:type="spellStart"/>
      <w:r w:rsidRPr="007266F7">
        <w:rPr>
          <w:i/>
          <w:iCs/>
          <w:sz w:val="22"/>
          <w:szCs w:val="22"/>
        </w:rPr>
        <w:t>Dim_Date</w:t>
      </w:r>
      <w:proofErr w:type="spellEnd"/>
      <w:r w:rsidRPr="007266F7">
        <w:rPr>
          <w:sz w:val="22"/>
          <w:szCs w:val="22"/>
        </w:rPr>
        <w:t xml:space="preserve"> table was created to link P&amp;L, Sales, and Cash Flow data. This ensures that a single "Month" filter updates every visual simultaneously.</w:t>
      </w:r>
    </w:p>
    <w:p w14:paraId="1AC3CED4" w14:textId="77777777" w:rsidR="007266F7" w:rsidRPr="007266F7" w:rsidRDefault="007266F7" w:rsidP="007266F7">
      <w:pPr>
        <w:pStyle w:val="NoSpacing"/>
        <w:numPr>
          <w:ilvl w:val="0"/>
          <w:numId w:val="5"/>
        </w:numPr>
        <w:rPr>
          <w:sz w:val="22"/>
          <w:szCs w:val="22"/>
        </w:rPr>
      </w:pPr>
      <w:r w:rsidRPr="007266F7">
        <w:rPr>
          <w:b/>
          <w:bCs/>
          <w:sz w:val="22"/>
          <w:szCs w:val="22"/>
        </w:rPr>
        <w:t>Time-Intelligence:</w:t>
      </w:r>
      <w:r w:rsidRPr="007266F7">
        <w:rPr>
          <w:sz w:val="22"/>
          <w:szCs w:val="22"/>
        </w:rPr>
        <w:t xml:space="preserve"> Sorting logic was applied to Month names to ensure chronological reporting (Jan to Dec) rather than alphabetical.</w:t>
      </w:r>
    </w:p>
    <w:p w14:paraId="64E25A2E" w14:textId="2D82CF71" w:rsidR="007266F7" w:rsidRPr="007266F7" w:rsidRDefault="007266F7" w:rsidP="007266F7">
      <w:pPr>
        <w:pStyle w:val="NoSpacing"/>
        <w:numPr>
          <w:ilvl w:val="0"/>
          <w:numId w:val="5"/>
        </w:numPr>
        <w:rPr>
          <w:sz w:val="22"/>
          <w:szCs w:val="22"/>
        </w:rPr>
      </w:pPr>
      <w:r w:rsidRPr="007266F7">
        <w:rPr>
          <w:b/>
          <w:bCs/>
          <w:sz w:val="22"/>
          <w:szCs w:val="22"/>
        </w:rPr>
        <w:t xml:space="preserve">Data </w:t>
      </w:r>
      <w:r w:rsidRPr="007266F7">
        <w:rPr>
          <w:b/>
          <w:bCs/>
          <w:sz w:val="22"/>
          <w:szCs w:val="22"/>
        </w:rPr>
        <w:t>Normalisation</w:t>
      </w:r>
      <w:r w:rsidRPr="007266F7">
        <w:rPr>
          <w:b/>
          <w:bCs/>
          <w:sz w:val="22"/>
          <w:szCs w:val="22"/>
        </w:rPr>
        <w:t>:</w:t>
      </w:r>
      <w:r w:rsidRPr="007266F7">
        <w:rPr>
          <w:sz w:val="22"/>
          <w:szCs w:val="22"/>
        </w:rPr>
        <w:t xml:space="preserve"> The Cash Flow data was "Unpivoted" from wide to long format. This allows the </w:t>
      </w:r>
      <w:r w:rsidRPr="007266F7">
        <w:rPr>
          <w:b/>
          <w:bCs/>
          <w:sz w:val="22"/>
          <w:szCs w:val="22"/>
        </w:rPr>
        <w:t>Waterfall Chart</w:t>
      </w:r>
      <w:r w:rsidRPr="007266F7">
        <w:rPr>
          <w:sz w:val="22"/>
          <w:szCs w:val="22"/>
        </w:rPr>
        <w:t xml:space="preserve"> to treat "Inflows" and "Outflows" as distinct categories within a single axis, facilitating the </w:t>
      </w:r>
      <w:r w:rsidRPr="007266F7">
        <w:rPr>
          <w:sz w:val="22"/>
          <w:szCs w:val="22"/>
        </w:rPr>
        <w:t>visualisation</w:t>
      </w:r>
      <w:r w:rsidRPr="007266F7">
        <w:rPr>
          <w:sz w:val="22"/>
          <w:szCs w:val="22"/>
        </w:rPr>
        <w:t xml:space="preserve"> of cash movement.</w:t>
      </w:r>
    </w:p>
    <w:p w14:paraId="5AAA7545" w14:textId="77777777" w:rsidR="007266F7" w:rsidRPr="007266F7" w:rsidRDefault="007266F7" w:rsidP="007266F7">
      <w:pPr>
        <w:pStyle w:val="NoSpacing"/>
        <w:numPr>
          <w:ilvl w:val="0"/>
          <w:numId w:val="5"/>
        </w:numPr>
        <w:rPr>
          <w:sz w:val="22"/>
          <w:szCs w:val="22"/>
        </w:rPr>
      </w:pPr>
      <w:r w:rsidRPr="007266F7">
        <w:rPr>
          <w:b/>
          <w:bCs/>
          <w:sz w:val="22"/>
          <w:szCs w:val="22"/>
        </w:rPr>
        <w:t>Margin Calculations:</w:t>
      </w:r>
      <w:r w:rsidRPr="007266F7">
        <w:rPr>
          <w:sz w:val="22"/>
          <w:szCs w:val="22"/>
        </w:rPr>
        <w:t xml:space="preserve"> Used the DIVIDE function for all percentage KPIs (Gross Margin, EBITDA %) to handle "division by zero" errors gracefully if revenue is missing for a specific filter.</w:t>
      </w:r>
    </w:p>
    <w:p w14:paraId="5861BABF" w14:textId="77777777" w:rsidR="007266F7" w:rsidRPr="007266F7" w:rsidRDefault="007266F7" w:rsidP="007266F7">
      <w:pPr>
        <w:jc w:val="both"/>
      </w:pPr>
      <w:r w:rsidRPr="007266F7">
        <w:rPr>
          <w:sz w:val="20"/>
          <w:szCs w:val="20"/>
        </w:rPr>
        <w:pict w14:anchorId="1E3D9DFE">
          <v:rect id="_x0000_i1050" style="width:0;height:1.5pt" o:hralign="center" o:hrstd="t" o:hrnoshade="t" o:hr="t" fillcolor="gray" stroked="f"/>
        </w:pict>
      </w:r>
    </w:p>
    <w:p w14:paraId="384613B2" w14:textId="77777777" w:rsidR="007266F7" w:rsidRPr="007266F7" w:rsidRDefault="007266F7" w:rsidP="007266F7">
      <w:pPr>
        <w:jc w:val="both"/>
        <w:rPr>
          <w:b/>
          <w:bCs/>
        </w:rPr>
      </w:pPr>
      <w:r w:rsidRPr="007266F7">
        <w:rPr>
          <w:b/>
          <w:bCs/>
        </w:rPr>
        <w:t>2. Key Analytical Insights</w:t>
      </w:r>
    </w:p>
    <w:p w14:paraId="736E5320" w14:textId="77777777" w:rsidR="007266F7" w:rsidRPr="007266F7" w:rsidRDefault="007266F7" w:rsidP="007266F7">
      <w:pPr>
        <w:jc w:val="both"/>
        <w:rPr>
          <w:sz w:val="22"/>
          <w:szCs w:val="22"/>
        </w:rPr>
      </w:pPr>
      <w:r w:rsidRPr="007266F7">
        <w:rPr>
          <w:sz w:val="22"/>
          <w:szCs w:val="22"/>
        </w:rPr>
        <w:t>The dashboard is designed to answer three critical business questions:</w:t>
      </w:r>
    </w:p>
    <w:p w14:paraId="6A77ED0E" w14:textId="77777777" w:rsidR="007266F7" w:rsidRPr="007266F7" w:rsidRDefault="007266F7" w:rsidP="007266F7">
      <w:pPr>
        <w:pStyle w:val="NoSpacing"/>
        <w:numPr>
          <w:ilvl w:val="0"/>
          <w:numId w:val="6"/>
        </w:numPr>
        <w:rPr>
          <w:sz w:val="22"/>
          <w:szCs w:val="22"/>
        </w:rPr>
      </w:pPr>
      <w:r w:rsidRPr="007266F7">
        <w:rPr>
          <w:b/>
          <w:bCs/>
          <w:sz w:val="22"/>
          <w:szCs w:val="22"/>
        </w:rPr>
        <w:t>Are we meeting growth targets?</w:t>
      </w:r>
      <w:r w:rsidRPr="007266F7">
        <w:rPr>
          <w:sz w:val="22"/>
          <w:szCs w:val="22"/>
        </w:rPr>
        <w:t xml:space="preserve"> The </w:t>
      </w:r>
      <w:r w:rsidRPr="007266F7">
        <w:rPr>
          <w:b/>
          <w:bCs/>
          <w:sz w:val="22"/>
          <w:szCs w:val="22"/>
        </w:rPr>
        <w:t>Revenue vs. Budget Variance</w:t>
      </w:r>
      <w:r w:rsidRPr="007266F7">
        <w:rPr>
          <w:sz w:val="22"/>
          <w:szCs w:val="22"/>
        </w:rPr>
        <w:t xml:space="preserve"> visual identifies which regions or products are underperforming. A negative variance (Red) serves as an immediate signal for management to investigate market conditions or sales execution.</w:t>
      </w:r>
    </w:p>
    <w:p w14:paraId="15CE2ACC" w14:textId="77777777" w:rsidR="007266F7" w:rsidRPr="007266F7" w:rsidRDefault="007266F7" w:rsidP="007266F7">
      <w:pPr>
        <w:pStyle w:val="NoSpacing"/>
        <w:numPr>
          <w:ilvl w:val="0"/>
          <w:numId w:val="6"/>
        </w:numPr>
        <w:rPr>
          <w:sz w:val="22"/>
          <w:szCs w:val="22"/>
        </w:rPr>
      </w:pPr>
      <w:r w:rsidRPr="007266F7">
        <w:rPr>
          <w:b/>
          <w:bCs/>
          <w:sz w:val="22"/>
          <w:szCs w:val="22"/>
        </w:rPr>
        <w:t>Is our growth profitable?</w:t>
      </w:r>
      <w:r w:rsidRPr="007266F7">
        <w:rPr>
          <w:sz w:val="22"/>
          <w:szCs w:val="22"/>
        </w:rPr>
        <w:t xml:space="preserve"> By overlaying </w:t>
      </w:r>
      <w:r w:rsidRPr="007266F7">
        <w:rPr>
          <w:b/>
          <w:bCs/>
          <w:sz w:val="22"/>
          <w:szCs w:val="22"/>
        </w:rPr>
        <w:t>EBITDA %</w:t>
      </w:r>
      <w:r w:rsidRPr="007266F7">
        <w:rPr>
          <w:sz w:val="22"/>
          <w:szCs w:val="22"/>
        </w:rPr>
        <w:t xml:space="preserve"> on the Revenue Trend line, we can see if expenses are scaling faster than income. A widening gap between Revenue and Profit indicates operational inefficiency.</w:t>
      </w:r>
    </w:p>
    <w:p w14:paraId="214C9F7D" w14:textId="417410E1" w:rsidR="007266F7" w:rsidRPr="007266F7" w:rsidRDefault="007266F7" w:rsidP="007266F7">
      <w:pPr>
        <w:pStyle w:val="NoSpacing"/>
        <w:numPr>
          <w:ilvl w:val="0"/>
          <w:numId w:val="6"/>
        </w:numPr>
        <w:rPr>
          <w:sz w:val="28"/>
          <w:szCs w:val="28"/>
        </w:rPr>
      </w:pPr>
      <w:r w:rsidRPr="007266F7">
        <w:rPr>
          <w:b/>
          <w:bCs/>
          <w:sz w:val="22"/>
          <w:szCs w:val="22"/>
        </w:rPr>
        <w:t>What is our Liquidity Risk?</w:t>
      </w:r>
      <w:r w:rsidRPr="007266F7">
        <w:rPr>
          <w:sz w:val="22"/>
          <w:szCs w:val="22"/>
        </w:rPr>
        <w:t xml:space="preserve"> The </w:t>
      </w:r>
      <w:r w:rsidRPr="007266F7">
        <w:rPr>
          <w:b/>
          <w:bCs/>
          <w:sz w:val="22"/>
          <w:szCs w:val="22"/>
        </w:rPr>
        <w:t>Receivables Aging</w:t>
      </w:r>
      <w:r w:rsidRPr="007266F7">
        <w:rPr>
          <w:sz w:val="22"/>
          <w:szCs w:val="22"/>
        </w:rPr>
        <w:t xml:space="preserve"> chart </w:t>
      </w:r>
      <w:r w:rsidRPr="007266F7">
        <w:rPr>
          <w:sz w:val="22"/>
          <w:szCs w:val="22"/>
        </w:rPr>
        <w:t>categorises</w:t>
      </w:r>
      <w:r w:rsidRPr="007266F7">
        <w:rPr>
          <w:sz w:val="22"/>
          <w:szCs w:val="22"/>
        </w:rPr>
        <w:t xml:space="preserve"> outstanding payments. If the "60-90 Day" bucket increases, it suggests a bottleneck in collections that could lead to a cash crunch, even if P&amp;L profit remains high.</w:t>
      </w:r>
    </w:p>
    <w:p w14:paraId="138F4DEA" w14:textId="77777777" w:rsidR="007266F7" w:rsidRPr="007266F7" w:rsidRDefault="007266F7" w:rsidP="007266F7">
      <w:pPr>
        <w:jc w:val="both"/>
      </w:pPr>
      <w:r w:rsidRPr="007266F7">
        <w:rPr>
          <w:sz w:val="20"/>
          <w:szCs w:val="20"/>
        </w:rPr>
        <w:pict w14:anchorId="3CE2ED7E">
          <v:rect id="_x0000_i1051" style="width:0;height:1.5pt" o:hralign="center" o:hrstd="t" o:hrnoshade="t" o:hr="t" fillcolor="gray" stroked="f"/>
        </w:pict>
      </w:r>
    </w:p>
    <w:p w14:paraId="7BACB2C4" w14:textId="77777777" w:rsidR="007266F7" w:rsidRPr="007266F7" w:rsidRDefault="007266F7" w:rsidP="007266F7">
      <w:pPr>
        <w:jc w:val="both"/>
        <w:rPr>
          <w:b/>
          <w:bCs/>
        </w:rPr>
      </w:pPr>
      <w:r w:rsidRPr="007266F7">
        <w:rPr>
          <w:b/>
          <w:bCs/>
        </w:rPr>
        <w:t>3. Assumptions &amp; Constraints</w:t>
      </w:r>
    </w:p>
    <w:p w14:paraId="2B530237" w14:textId="77777777" w:rsidR="007266F7" w:rsidRPr="007266F7" w:rsidRDefault="007266F7" w:rsidP="007266F7">
      <w:pPr>
        <w:jc w:val="both"/>
        <w:rPr>
          <w:sz w:val="22"/>
          <w:szCs w:val="22"/>
        </w:rPr>
      </w:pPr>
      <w:r w:rsidRPr="007266F7">
        <w:rPr>
          <w:sz w:val="22"/>
          <w:szCs w:val="22"/>
        </w:rPr>
        <w:t>The following assumptions were made during the data transformation process:</w:t>
      </w:r>
    </w:p>
    <w:p w14:paraId="2A88B8F2" w14:textId="77A7E7C2" w:rsidR="007266F7" w:rsidRPr="007266F7" w:rsidRDefault="007266F7" w:rsidP="007266F7">
      <w:pPr>
        <w:pStyle w:val="NoSpacing"/>
        <w:numPr>
          <w:ilvl w:val="0"/>
          <w:numId w:val="7"/>
        </w:numPr>
        <w:rPr>
          <w:sz w:val="22"/>
          <w:szCs w:val="22"/>
        </w:rPr>
      </w:pPr>
      <w:r w:rsidRPr="007266F7">
        <w:rPr>
          <w:b/>
          <w:bCs/>
          <w:sz w:val="22"/>
          <w:szCs w:val="22"/>
        </w:rPr>
        <w:t>Date Mapping:</w:t>
      </w:r>
      <w:r w:rsidRPr="007266F7">
        <w:rPr>
          <w:sz w:val="22"/>
          <w:szCs w:val="22"/>
        </w:rPr>
        <w:t xml:space="preserve"> All "Month" strings (e.g., 2023-01) are assumed to represent the first day of that month for time-intelligence calculations.</w:t>
      </w:r>
    </w:p>
    <w:p w14:paraId="5A2BE1E5" w14:textId="77777777" w:rsidR="007266F7" w:rsidRPr="007266F7" w:rsidRDefault="007266F7" w:rsidP="007266F7">
      <w:pPr>
        <w:pStyle w:val="NoSpacing"/>
        <w:numPr>
          <w:ilvl w:val="0"/>
          <w:numId w:val="7"/>
        </w:numPr>
        <w:rPr>
          <w:sz w:val="22"/>
          <w:szCs w:val="22"/>
        </w:rPr>
      </w:pPr>
      <w:r w:rsidRPr="007266F7">
        <w:rPr>
          <w:b/>
          <w:bCs/>
          <w:sz w:val="22"/>
          <w:szCs w:val="22"/>
        </w:rPr>
        <w:t>Budgeting:</w:t>
      </w:r>
      <w:r w:rsidRPr="007266F7">
        <w:rPr>
          <w:sz w:val="22"/>
          <w:szCs w:val="22"/>
        </w:rPr>
        <w:t xml:space="preserve"> Budget figures are treated as static monthly targets. No "Flexible Budgeting" (adjusting targets based on actual volume) has been applied.</w:t>
      </w:r>
    </w:p>
    <w:p w14:paraId="6086010E" w14:textId="0D6BAEBB" w:rsidR="007266F7" w:rsidRPr="007266F7" w:rsidRDefault="007266F7" w:rsidP="007266F7">
      <w:pPr>
        <w:pStyle w:val="NoSpacing"/>
        <w:numPr>
          <w:ilvl w:val="0"/>
          <w:numId w:val="7"/>
        </w:numPr>
        <w:rPr>
          <w:sz w:val="22"/>
          <w:szCs w:val="22"/>
        </w:rPr>
      </w:pPr>
      <w:r w:rsidRPr="007266F7">
        <w:rPr>
          <w:b/>
          <w:bCs/>
          <w:sz w:val="22"/>
          <w:szCs w:val="22"/>
        </w:rPr>
        <w:t>Cash Flow Timing:</w:t>
      </w:r>
      <w:r w:rsidRPr="007266F7">
        <w:rPr>
          <w:sz w:val="22"/>
          <w:szCs w:val="22"/>
        </w:rPr>
        <w:t xml:space="preserve"> Cash Inflows and Outflows are assumed to be </w:t>
      </w:r>
      <w:r w:rsidRPr="007266F7">
        <w:rPr>
          <w:sz w:val="22"/>
          <w:szCs w:val="22"/>
        </w:rPr>
        <w:t>realised</w:t>
      </w:r>
      <w:r w:rsidRPr="007266F7">
        <w:rPr>
          <w:sz w:val="22"/>
          <w:szCs w:val="22"/>
        </w:rPr>
        <w:t xml:space="preserve"> within the month they are recorded.</w:t>
      </w:r>
    </w:p>
    <w:p w14:paraId="54E08C4B" w14:textId="7DFECB30" w:rsidR="007C239B" w:rsidRPr="007266F7" w:rsidRDefault="007266F7" w:rsidP="007266F7">
      <w:pPr>
        <w:pStyle w:val="NoSpacing"/>
        <w:numPr>
          <w:ilvl w:val="0"/>
          <w:numId w:val="7"/>
        </w:numPr>
        <w:rPr>
          <w:sz w:val="22"/>
          <w:szCs w:val="22"/>
        </w:rPr>
      </w:pPr>
      <w:r w:rsidRPr="007266F7">
        <w:rPr>
          <w:b/>
          <w:bCs/>
          <w:sz w:val="22"/>
          <w:szCs w:val="22"/>
        </w:rPr>
        <w:t>Categorisation</w:t>
      </w:r>
      <w:r w:rsidRPr="007266F7">
        <w:rPr>
          <w:b/>
          <w:bCs/>
          <w:sz w:val="22"/>
          <w:szCs w:val="22"/>
        </w:rPr>
        <w:t>:</w:t>
      </w:r>
      <w:r w:rsidRPr="007266F7">
        <w:rPr>
          <w:sz w:val="22"/>
          <w:szCs w:val="22"/>
        </w:rPr>
        <w:t xml:space="preserve"> Items </w:t>
      </w:r>
      <w:r w:rsidRPr="007266F7">
        <w:rPr>
          <w:sz w:val="22"/>
          <w:szCs w:val="22"/>
        </w:rPr>
        <w:t>labelled</w:t>
      </w:r>
      <w:r w:rsidRPr="007266F7">
        <w:rPr>
          <w:sz w:val="22"/>
          <w:szCs w:val="22"/>
        </w:rPr>
        <w:t xml:space="preserve"> "Product A/B/C" are </w:t>
      </w:r>
      <w:r w:rsidRPr="007266F7">
        <w:rPr>
          <w:sz w:val="22"/>
          <w:szCs w:val="22"/>
        </w:rPr>
        <w:t>categorised</w:t>
      </w:r>
      <w:r w:rsidRPr="007266F7">
        <w:rPr>
          <w:sz w:val="22"/>
          <w:szCs w:val="22"/>
        </w:rPr>
        <w:t xml:space="preserve"> as "Goods," while "Service X/Y" are </w:t>
      </w:r>
      <w:r w:rsidRPr="007266F7">
        <w:rPr>
          <w:sz w:val="22"/>
          <w:szCs w:val="22"/>
        </w:rPr>
        <w:t>categorised</w:t>
      </w:r>
      <w:r w:rsidRPr="007266F7">
        <w:rPr>
          <w:sz w:val="22"/>
          <w:szCs w:val="22"/>
        </w:rPr>
        <w:t xml:space="preserve"> as "Services" to allow for high-level sector analysis.</w:t>
      </w:r>
    </w:p>
    <w:sectPr w:rsidR="007C239B" w:rsidRPr="007266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C05273"/>
    <w:multiLevelType w:val="multilevel"/>
    <w:tmpl w:val="B700F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074AF8"/>
    <w:multiLevelType w:val="multilevel"/>
    <w:tmpl w:val="9FDEA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E90B1D"/>
    <w:multiLevelType w:val="hybridMultilevel"/>
    <w:tmpl w:val="0688E8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6C1665"/>
    <w:multiLevelType w:val="hybridMultilevel"/>
    <w:tmpl w:val="901E62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967B3C"/>
    <w:multiLevelType w:val="multilevel"/>
    <w:tmpl w:val="DFDEE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1539F6"/>
    <w:multiLevelType w:val="hybridMultilevel"/>
    <w:tmpl w:val="BC1298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3F0221"/>
    <w:multiLevelType w:val="multilevel"/>
    <w:tmpl w:val="C6D69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0526100">
    <w:abstractNumId w:val="4"/>
  </w:num>
  <w:num w:numId="2" w16cid:durableId="1134105614">
    <w:abstractNumId w:val="6"/>
  </w:num>
  <w:num w:numId="3" w16cid:durableId="1312783655">
    <w:abstractNumId w:val="0"/>
  </w:num>
  <w:num w:numId="4" w16cid:durableId="1902910981">
    <w:abstractNumId w:val="1"/>
  </w:num>
  <w:num w:numId="5" w16cid:durableId="559947107">
    <w:abstractNumId w:val="2"/>
  </w:num>
  <w:num w:numId="6" w16cid:durableId="1077090231">
    <w:abstractNumId w:val="5"/>
  </w:num>
  <w:num w:numId="7" w16cid:durableId="12994102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39B"/>
    <w:rsid w:val="007266F7"/>
    <w:rsid w:val="007321C1"/>
    <w:rsid w:val="007C2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A81C2D"/>
  <w15:chartTrackingRefBased/>
  <w15:docId w15:val="{91A8E26B-1F3F-49DD-90B1-C8D908664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3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3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3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3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3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3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3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3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3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3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3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3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3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3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3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3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3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3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3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3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3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3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3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3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3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3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3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3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39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7266F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376</Words>
  <Characters>2149</Characters>
  <Application>Microsoft Office Word</Application>
  <DocSecurity>0</DocSecurity>
  <Lines>17</Lines>
  <Paragraphs>5</Paragraphs>
  <ScaleCrop>false</ScaleCrop>
  <Company/>
  <LinksUpToDate>false</LinksUpToDate>
  <CharactersWithSpaces>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Ruchir Agrawal</dc:creator>
  <cp:keywords/>
  <dc:description/>
  <cp:lastModifiedBy>Ruchir Agrawal</cp:lastModifiedBy>
  <cp:revision>2</cp:revision>
  <dcterms:created xsi:type="dcterms:W3CDTF">2026-03-11T11:53:00Z</dcterms:created>
  <dcterms:modified xsi:type="dcterms:W3CDTF">2026-03-11T11:58:00Z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2775f1a1-1c1c-4416-9050-9f3ea1b4f7b6</vt:lpwstr>
  </property>
</Properties>
</file>