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Annexure</w:t>
      </w:r>
      <w:r>
        <w:t xml:space="preserve"> </w:t>
      </w:r>
      <w:r>
        <w:t xml:space="preserve">A</w:t>
      </w:r>
      <w:r>
        <w:t xml:space="preserve"> </w:t>
      </w:r>
      <w:r>
        <w:t xml:space="preserve">–</w:t>
      </w:r>
      <w:r>
        <w:t xml:space="preserve"> </w:t>
      </w:r>
      <w:r>
        <w:t xml:space="preserve">Programme</w:t>
      </w:r>
      <w:r>
        <w:t xml:space="preserve"> </w:t>
      </w:r>
      <w:r>
        <w:t xml:space="preserve">Outcomes,</w:t>
      </w:r>
      <w:r>
        <w:t xml:space="preserve"> </w:t>
      </w:r>
      <w:r>
        <w:t xml:space="preserve">PSOs</w:t>
      </w:r>
      <w:r>
        <w:t xml:space="preserve"> </w:t>
      </w:r>
      <w:r>
        <w:t xml:space="preserve">and</w:t>
      </w:r>
      <w:r>
        <w:t xml:space="preserve"> </w:t>
      </w:r>
      <w:r>
        <w:t xml:space="preserve">Bloom’s</w:t>
      </w:r>
      <w:r>
        <w:t xml:space="preserve"> </w:t>
      </w:r>
      <w:r>
        <w:t xml:space="preserve">Taxonomy</w:t>
      </w:r>
    </w:p>
    <w:p>
      <w:pPr>
        <w:pStyle w:val="Subtitle"/>
      </w:pPr>
      <w:r>
        <w:t xml:space="preserve">SpecForge</w:t>
      </w:r>
      <w:r>
        <w:t xml:space="preserve"> </w:t>
      </w:r>
      <w:r>
        <w:t xml:space="preserve">Hackathon</w:t>
      </w:r>
      <w:r>
        <w:t xml:space="preserve"> </w:t>
      </w:r>
      <w:r>
        <w:t xml:space="preserve">–</w:t>
      </w:r>
      <w:r>
        <w:t xml:space="preserve"> </w:t>
      </w:r>
      <w:r>
        <w:t xml:space="preserve">Reference</w:t>
      </w:r>
      <w:r>
        <w:t xml:space="preserve"> </w:t>
      </w:r>
      <w:r>
        <w:t xml:space="preserve">for</w:t>
      </w:r>
      <w:r>
        <w:t xml:space="preserve"> </w:t>
      </w:r>
      <w:r>
        <w:t xml:space="preserve">CO–PO–PSO</w:t>
      </w:r>
      <w:r>
        <w:t xml:space="preserve"> </w:t>
      </w:r>
      <w:r>
        <w:t xml:space="preserve">mapping</w:t>
      </w:r>
    </w:p>
    <w:bookmarkStart w:id="20" w:name="a1.-programme-outcomes-pos"/>
    <w:p>
      <w:pPr>
        <w:pStyle w:val="Heading1"/>
      </w:pPr>
      <w:r>
        <w:t xml:space="preserve">A1. Programme Outcomes (POs)</w:t>
      </w:r>
    </w:p>
    <w:p>
      <w:pPr>
        <w:pStyle w:val="FirstParagraph"/>
      </w:pPr>
      <w:r>
        <w:t xml:space="preserve">Aligned with the Washington Accord 2021 Graduate Attribute Profiles and NBA graduate attributes. WK = Washington Accord Knowledge and Attitude Profile.</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b/>
                <w:sz w:val="18"/>
              </w:rPr>
              <w:t xml:space="preserve">PO</w:t>
            </w:r>
          </w:p>
        </w:tc>
        <w:tc>
          <w:tcPr/>
          <w:p>
            <w:pPr>
              <w:pStyle w:val="Compact"/>
              <w:jc w:val="left"/>
            </w:pPr>
            <w:r>
              <w:rPr>
                <w:b/>
                <w:sz w:val="18"/>
              </w:rPr>
              <w:t xml:space="preserve">Title</w:t>
            </w:r>
          </w:p>
        </w:tc>
        <w:tc>
          <w:tcPr/>
          <w:p>
            <w:pPr>
              <w:pStyle w:val="Compact"/>
              <w:jc w:val="left"/>
            </w:pPr>
            <w:r>
              <w:rPr>
                <w:b/>
                <w:sz w:val="18"/>
              </w:rPr>
              <w:t xml:space="preserve">Statement</w:t>
            </w:r>
          </w:p>
        </w:tc>
      </w:tr>
      <w:tr>
        <w:tc>
          <w:tcPr/>
          <w:p>
            <w:pPr>
              <w:pStyle w:val="Compact"/>
              <w:jc w:val="left"/>
            </w:pPr>
            <w:r>
              <w:rPr>
                <w:sz w:val="18"/>
              </w:rPr>
              <w:t xml:space="preserve">PO-1</w:t>
            </w:r>
          </w:p>
        </w:tc>
        <w:tc>
          <w:tcPr/>
          <w:p>
            <w:pPr>
              <w:pStyle w:val="Compact"/>
              <w:jc w:val="left"/>
            </w:pPr>
            <w:r>
              <w:rPr>
                <w:sz w:val="18"/>
              </w:rPr>
              <w:t xml:space="preserve">Engineering Knowledge</w:t>
            </w:r>
          </w:p>
        </w:tc>
        <w:tc>
          <w:tcPr/>
          <w:p>
            <w:pPr>
              <w:pStyle w:val="Compact"/>
              <w:jc w:val="left"/>
            </w:pPr>
            <w:r>
              <w:rPr>
                <w:sz w:val="18"/>
              </w:rPr>
              <w:t xml:space="preserve">Apply knowledge of mathematics, natural science, computing, engineering fundamentals and an engineering specialization (WK1–WK4) to develop solutions to complex engineering problems.</w:t>
            </w:r>
          </w:p>
        </w:tc>
      </w:tr>
      <w:tr>
        <w:tc>
          <w:tcPr/>
          <w:p>
            <w:pPr>
              <w:pStyle w:val="Compact"/>
              <w:jc w:val="left"/>
            </w:pPr>
            <w:r>
              <w:rPr>
                <w:sz w:val="18"/>
              </w:rPr>
              <w:t xml:space="preserve">PO-2</w:t>
            </w:r>
          </w:p>
        </w:tc>
        <w:tc>
          <w:tcPr/>
          <w:p>
            <w:pPr>
              <w:pStyle w:val="Compact"/>
              <w:jc w:val="left"/>
            </w:pPr>
            <w:r>
              <w:rPr>
                <w:sz w:val="18"/>
              </w:rPr>
              <w:t xml:space="preserve">Problem Analysis</w:t>
            </w:r>
          </w:p>
        </w:tc>
        <w:tc>
          <w:tcPr/>
          <w:p>
            <w:pPr>
              <w:pStyle w:val="Compact"/>
              <w:jc w:val="left"/>
            </w:pPr>
            <w:r>
              <w:rPr>
                <w:sz w:val="18"/>
              </w:rPr>
              <w:t xml:space="preserve">Identify, formulate, review research literature and analyse complex engineering problems, reaching substantiated conclusions with consideration for sustainable development (WK1–WK4).</w:t>
            </w:r>
          </w:p>
        </w:tc>
      </w:tr>
      <w:tr>
        <w:tc>
          <w:tcPr/>
          <w:p>
            <w:pPr>
              <w:pStyle w:val="Compact"/>
              <w:jc w:val="left"/>
            </w:pPr>
            <w:r>
              <w:rPr>
                <w:sz w:val="18"/>
              </w:rPr>
              <w:t xml:space="preserve">PO-3</w:t>
            </w:r>
          </w:p>
        </w:tc>
        <w:tc>
          <w:tcPr/>
          <w:p>
            <w:pPr>
              <w:pStyle w:val="Compact"/>
              <w:jc w:val="left"/>
            </w:pPr>
            <w:r>
              <w:rPr>
                <w:sz w:val="18"/>
              </w:rPr>
              <w:t xml:space="preserve">Design / Development of Solutions</w:t>
            </w:r>
          </w:p>
        </w:tc>
        <w:tc>
          <w:tcPr/>
          <w:p>
            <w:pPr>
              <w:pStyle w:val="Compact"/>
              <w:jc w:val="left"/>
            </w:pPr>
            <w:r>
              <w:rPr>
                <w:sz w:val="18"/>
              </w:rPr>
              <w:t xml:space="preserve">Design creative solutions for complex engineering problems and design or develop systems, components or processes to meet identified needs, with consideration for public health and safety, whole-life cost, net-zero carbon, culture, society and environment as required (WK5).</w:t>
            </w:r>
          </w:p>
        </w:tc>
      </w:tr>
      <w:tr>
        <w:tc>
          <w:tcPr/>
          <w:p>
            <w:pPr>
              <w:pStyle w:val="Compact"/>
              <w:jc w:val="left"/>
            </w:pPr>
            <w:r>
              <w:rPr>
                <w:sz w:val="18"/>
              </w:rPr>
              <w:t xml:space="preserve">PO-4</w:t>
            </w:r>
          </w:p>
        </w:tc>
        <w:tc>
          <w:tcPr/>
          <w:p>
            <w:pPr>
              <w:pStyle w:val="Compact"/>
              <w:jc w:val="left"/>
            </w:pPr>
            <w:r>
              <w:rPr>
                <w:sz w:val="18"/>
              </w:rPr>
              <w:t xml:space="preserve">Conduct Investigations of Complex Problems</w:t>
            </w:r>
          </w:p>
        </w:tc>
        <w:tc>
          <w:tcPr/>
          <w:p>
            <w:pPr>
              <w:pStyle w:val="Compact"/>
              <w:jc w:val="left"/>
            </w:pPr>
            <w:r>
              <w:rPr>
                <w:sz w:val="18"/>
              </w:rPr>
              <w:t xml:space="preserve">Conduct investigations of complex engineering problems using research-based knowledge, including design of experiments, modelling, analysis and interpretation of data, to provide valid conclusions (WK8).</w:t>
            </w:r>
          </w:p>
        </w:tc>
      </w:tr>
      <w:tr>
        <w:tc>
          <w:tcPr/>
          <w:p>
            <w:pPr>
              <w:pStyle w:val="Compact"/>
              <w:jc w:val="left"/>
            </w:pPr>
            <w:r>
              <w:rPr>
                <w:sz w:val="18"/>
              </w:rPr>
              <w:t xml:space="preserve">PO-5</w:t>
            </w:r>
          </w:p>
        </w:tc>
        <w:tc>
          <w:tcPr/>
          <w:p>
            <w:pPr>
              <w:pStyle w:val="Compact"/>
              <w:jc w:val="left"/>
            </w:pPr>
            <w:r>
              <w:rPr>
                <w:sz w:val="18"/>
              </w:rPr>
              <w:t xml:space="preserve">Engineering Tool Usage</w:t>
            </w:r>
          </w:p>
        </w:tc>
        <w:tc>
          <w:tcPr/>
          <w:p>
            <w:pPr>
              <w:pStyle w:val="Compact"/>
              <w:jc w:val="left"/>
            </w:pPr>
            <w:r>
              <w:rPr>
                <w:sz w:val="18"/>
              </w:rPr>
              <w:t xml:space="preserve">Create, select and apply appropriate techniques, resources and modern engineering and IT tools, including prediction and modelling, recognising their limitations, to solve complex engineering problems (WK2, WK6).</w:t>
            </w:r>
          </w:p>
        </w:tc>
      </w:tr>
      <w:tr>
        <w:tc>
          <w:tcPr/>
          <w:p>
            <w:pPr>
              <w:pStyle w:val="Compact"/>
              <w:jc w:val="left"/>
            </w:pPr>
            <w:r>
              <w:rPr>
                <w:sz w:val="18"/>
              </w:rPr>
              <w:t xml:space="preserve">PO-6</w:t>
            </w:r>
          </w:p>
        </w:tc>
        <w:tc>
          <w:tcPr/>
          <w:p>
            <w:pPr>
              <w:pStyle w:val="Compact"/>
              <w:jc w:val="left"/>
            </w:pPr>
            <w:r>
              <w:rPr>
                <w:sz w:val="18"/>
              </w:rPr>
              <w:t xml:space="preserve">The Engineer and the World</w:t>
            </w:r>
          </w:p>
        </w:tc>
        <w:tc>
          <w:tcPr/>
          <w:p>
            <w:pPr>
              <w:pStyle w:val="Compact"/>
              <w:jc w:val="left"/>
            </w:pPr>
            <w:r>
              <w:rPr>
                <w:sz w:val="18"/>
              </w:rPr>
              <w:t xml:space="preserve">Analyse and evaluate societal and environmental aspects while solving complex engineering problems, for their impact on sustainability with reference to economy, health, safety, legal framework, culture and environment (WK1, WK5, WK7).</w:t>
            </w:r>
          </w:p>
        </w:tc>
      </w:tr>
      <w:tr>
        <w:tc>
          <w:tcPr/>
          <w:p>
            <w:pPr>
              <w:pStyle w:val="Compact"/>
              <w:jc w:val="left"/>
            </w:pPr>
            <w:r>
              <w:rPr>
                <w:sz w:val="18"/>
              </w:rPr>
              <w:t xml:space="preserve">PO-7</w:t>
            </w:r>
          </w:p>
        </w:tc>
        <w:tc>
          <w:tcPr/>
          <w:p>
            <w:pPr>
              <w:pStyle w:val="Compact"/>
              <w:jc w:val="left"/>
            </w:pPr>
            <w:r>
              <w:rPr>
                <w:sz w:val="18"/>
              </w:rPr>
              <w:t xml:space="preserve">Ethics</w:t>
            </w:r>
          </w:p>
        </w:tc>
        <w:tc>
          <w:tcPr/>
          <w:p>
            <w:pPr>
              <w:pStyle w:val="Compact"/>
              <w:jc w:val="left"/>
            </w:pPr>
            <w:r>
              <w:rPr>
                <w:sz w:val="18"/>
              </w:rPr>
              <w:t xml:space="preserve">Apply ethical principles and commit to professional ethics, human values, diversity and inclusion; adhere to national and international laws (WK9).</w:t>
            </w:r>
          </w:p>
        </w:tc>
      </w:tr>
      <w:tr>
        <w:tc>
          <w:tcPr/>
          <w:p>
            <w:pPr>
              <w:pStyle w:val="Compact"/>
              <w:jc w:val="left"/>
            </w:pPr>
            <w:r>
              <w:rPr>
                <w:sz w:val="18"/>
              </w:rPr>
              <w:t xml:space="preserve">PO-8</w:t>
            </w:r>
          </w:p>
        </w:tc>
        <w:tc>
          <w:tcPr/>
          <w:p>
            <w:pPr>
              <w:pStyle w:val="Compact"/>
              <w:jc w:val="left"/>
            </w:pPr>
            <w:r>
              <w:rPr>
                <w:sz w:val="18"/>
              </w:rPr>
              <w:t xml:space="preserve">Individual and Collaborative Teamwork</w:t>
            </w:r>
          </w:p>
        </w:tc>
        <w:tc>
          <w:tcPr/>
          <w:p>
            <w:pPr>
              <w:pStyle w:val="Compact"/>
              <w:jc w:val="left"/>
            </w:pPr>
            <w:r>
              <w:rPr>
                <w:sz w:val="18"/>
              </w:rPr>
              <w:t xml:space="preserve">Function effectively as an individual, and as a member or leader in diverse and multidisciplinary teams.</w:t>
            </w:r>
          </w:p>
        </w:tc>
      </w:tr>
      <w:tr>
        <w:tc>
          <w:tcPr/>
          <w:p>
            <w:pPr>
              <w:pStyle w:val="Compact"/>
              <w:jc w:val="left"/>
            </w:pPr>
            <w:r>
              <w:rPr>
                <w:sz w:val="18"/>
              </w:rPr>
              <w:t xml:space="preserve">PO-9</w:t>
            </w:r>
          </w:p>
        </w:tc>
        <w:tc>
          <w:tcPr/>
          <w:p>
            <w:pPr>
              <w:pStyle w:val="Compact"/>
              <w:jc w:val="left"/>
            </w:pPr>
            <w:r>
              <w:rPr>
                <w:sz w:val="18"/>
              </w:rPr>
              <w:t xml:space="preserve">Communication</w:t>
            </w:r>
          </w:p>
        </w:tc>
        <w:tc>
          <w:tcPr/>
          <w:p>
            <w:pPr>
              <w:pStyle w:val="Compact"/>
              <w:jc w:val="left"/>
            </w:pPr>
            <w:r>
              <w:rPr>
                <w:sz w:val="18"/>
              </w:rPr>
              <w:t xml:space="preserve">Communicate effectively and inclusively within the engineering community and society at large: comprehend and write effective reports and design documentation, and make effective presentations, considering cultural, language and learning differences.</w:t>
            </w:r>
          </w:p>
        </w:tc>
      </w:tr>
      <w:tr>
        <w:tc>
          <w:tcPr/>
          <w:p>
            <w:pPr>
              <w:pStyle w:val="Compact"/>
              <w:jc w:val="left"/>
            </w:pPr>
            <w:r>
              <w:rPr>
                <w:sz w:val="18"/>
              </w:rPr>
              <w:t xml:space="preserve">PO-10</w:t>
            </w:r>
          </w:p>
        </w:tc>
        <w:tc>
          <w:tcPr/>
          <w:p>
            <w:pPr>
              <w:pStyle w:val="Compact"/>
              <w:jc w:val="left"/>
            </w:pPr>
            <w:r>
              <w:rPr>
                <w:sz w:val="18"/>
              </w:rPr>
              <w:t xml:space="preserve">Project Management and Finance</w:t>
            </w:r>
          </w:p>
        </w:tc>
        <w:tc>
          <w:tcPr/>
          <w:p>
            <w:pPr>
              <w:pStyle w:val="Compact"/>
              <w:jc w:val="left"/>
            </w:pPr>
            <w:r>
              <w:rPr>
                <w:sz w:val="18"/>
              </w:rPr>
              <w:t xml:space="preserve">Apply knowledge and understanding of engineering management principles and economic decision-making to one’s own work, as a member and leader in a team, and to manage projects in multidisciplinary environments.</w:t>
            </w:r>
          </w:p>
        </w:tc>
      </w:tr>
      <w:tr>
        <w:tc>
          <w:tcPr/>
          <w:p>
            <w:pPr>
              <w:pStyle w:val="Compact"/>
              <w:jc w:val="left"/>
            </w:pPr>
            <w:r>
              <w:rPr>
                <w:sz w:val="18"/>
              </w:rPr>
              <w:t xml:space="preserve">PO-11</w:t>
            </w:r>
          </w:p>
        </w:tc>
        <w:tc>
          <w:tcPr/>
          <w:p>
            <w:pPr>
              <w:pStyle w:val="Compact"/>
              <w:jc w:val="left"/>
            </w:pPr>
            <w:r>
              <w:rPr>
                <w:sz w:val="18"/>
              </w:rPr>
              <w:t xml:space="preserve">Life-Long Learning</w:t>
            </w:r>
          </w:p>
        </w:tc>
        <w:tc>
          <w:tcPr/>
          <w:p>
            <w:pPr>
              <w:pStyle w:val="Compact"/>
              <w:jc w:val="left"/>
            </w:pPr>
            <w:r>
              <w:rPr>
                <w:sz w:val="18"/>
              </w:rPr>
              <w:t xml:space="preserve">Recognise the need for, and have the preparation and ability for, independent and life-long learning, adaptability to new and emerging technologies, and critical thinking in the broadest context of technological change (WK8).</w:t>
            </w:r>
          </w:p>
        </w:tc>
      </w:tr>
    </w:tbl>
    <w:bookmarkEnd w:id="20"/>
    <w:bookmarkStart w:id="21" w:name="X204be7b0faa68bd7f62b4b096fda58555c3a7c6"/>
    <w:p>
      <w:pPr>
        <w:pStyle w:val="Heading1"/>
      </w:pPr>
      <w:r>
        <w:t xml:space="preserve">A2. Programme Specific Outcomes (PSOs) – B.Tech. Computer Science and Engineering</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p>
            <w:pPr>
              <w:pStyle w:val="Compact"/>
              <w:jc w:val="left"/>
            </w:pPr>
            <w:r>
              <w:rPr>
                <w:b/>
                <w:sz w:val="18"/>
              </w:rPr>
              <w:t xml:space="preserve">PSO</w:t>
            </w:r>
          </w:p>
        </w:tc>
        <w:tc>
          <w:tcPr/>
          <w:p>
            <w:pPr>
              <w:pStyle w:val="Compact"/>
              <w:jc w:val="left"/>
            </w:pPr>
            <w:r>
              <w:rPr>
                <w:b/>
                <w:sz w:val="18"/>
              </w:rPr>
              <w:t xml:space="preserve">Statement</w:t>
            </w:r>
          </w:p>
        </w:tc>
      </w:tr>
      <w:tr>
        <w:tc>
          <w:tcPr/>
          <w:p>
            <w:pPr>
              <w:pStyle w:val="Compact"/>
              <w:jc w:val="left"/>
            </w:pPr>
            <w:r>
              <w:rPr>
                <w:sz w:val="18"/>
              </w:rPr>
              <w:t xml:space="preserve">PSO-1</w:t>
            </w:r>
          </w:p>
        </w:tc>
        <w:tc>
          <w:tcPr/>
          <w:p>
            <w:pPr>
              <w:pStyle w:val="Compact"/>
              <w:jc w:val="left"/>
            </w:pPr>
            <w:r>
              <w:rPr>
                <w:sz w:val="18"/>
              </w:rPr>
              <w:t xml:space="preserve">Apply knowledge of computing fundamentals, algorithms, data structures and programming to analyse and solve computational problems.</w:t>
            </w:r>
            <w:r>
              <w:rPr>
                <w:sz w:val="18"/>
              </w:rPr>
              <w:t xml:space="preserve"> </w:t>
            </w:r>
            <w:r>
              <w:rPr>
                <w:iCs/>
                <w:i/>
                <w:sz w:val="18"/>
              </w:rPr>
              <w:t xml:space="preserve">(Organizer to replace with the official statement.)</w:t>
            </w:r>
          </w:p>
        </w:tc>
      </w:tr>
      <w:tr>
        <w:tc>
          <w:tcPr/>
          <w:p>
            <w:pPr>
              <w:pStyle w:val="Compact"/>
              <w:jc w:val="left"/>
            </w:pPr>
            <w:r>
              <w:rPr>
                <w:sz w:val="18"/>
              </w:rPr>
              <w:t xml:space="preserve">PSO-2</w:t>
            </w:r>
          </w:p>
        </w:tc>
        <w:tc>
          <w:tcPr/>
          <w:p>
            <w:pPr>
              <w:pStyle w:val="Compact"/>
              <w:jc w:val="left"/>
            </w:pPr>
            <w:r>
              <w:rPr>
                <w:sz w:val="18"/>
              </w:rPr>
              <w:t xml:space="preserve">Design and develop software solutions using modern tools, platforms and practices.</w:t>
            </w:r>
            <w:r>
              <w:rPr>
                <w:sz w:val="18"/>
              </w:rPr>
              <w:t xml:space="preserve"> </w:t>
            </w:r>
            <w:r>
              <w:rPr>
                <w:iCs/>
                <w:i/>
                <w:sz w:val="18"/>
              </w:rPr>
              <w:t xml:space="preserve">(Organizer to replace with the official statement.)</w:t>
            </w:r>
          </w:p>
        </w:tc>
      </w:tr>
    </w:tbl>
    <w:bookmarkEnd w:id="21"/>
    <w:bookmarkStart w:id="22" w:name="a3.-revised-blooms-taxonomy-co-verbs"/>
    <w:p>
      <w:pPr>
        <w:pStyle w:val="Heading1"/>
      </w:pPr>
      <w:r>
        <w:t xml:space="preserve">A3. Revised Bloom’s Taxonomy – CO verbs</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b/>
                <w:sz w:val="18"/>
              </w:rPr>
              <w:t xml:space="preserve">Level</w:t>
            </w:r>
          </w:p>
        </w:tc>
        <w:tc>
          <w:tcPr/>
          <w:p>
            <w:pPr>
              <w:pStyle w:val="Compact"/>
              <w:jc w:val="left"/>
            </w:pPr>
            <w:r>
              <w:rPr>
                <w:b/>
                <w:sz w:val="18"/>
              </w:rPr>
              <w:t xml:space="preserve">Name</w:t>
            </w:r>
          </w:p>
        </w:tc>
        <w:tc>
          <w:tcPr/>
          <w:p>
            <w:pPr>
              <w:pStyle w:val="Compact"/>
              <w:jc w:val="left"/>
            </w:pPr>
            <w:r>
              <w:rPr>
                <w:b/>
                <w:sz w:val="18"/>
              </w:rPr>
              <w:t xml:space="preserve">Typical action verbs</w:t>
            </w:r>
          </w:p>
        </w:tc>
      </w:tr>
      <w:tr>
        <w:tc>
          <w:tcPr/>
          <w:p>
            <w:pPr>
              <w:pStyle w:val="Compact"/>
              <w:jc w:val="left"/>
            </w:pPr>
            <w:r>
              <w:rPr>
                <w:sz w:val="18"/>
              </w:rPr>
              <w:t xml:space="preserve">L1</w:t>
            </w:r>
          </w:p>
        </w:tc>
        <w:tc>
          <w:tcPr/>
          <w:p>
            <w:pPr>
              <w:pStyle w:val="Compact"/>
              <w:jc w:val="left"/>
            </w:pPr>
            <w:r>
              <w:rPr>
                <w:sz w:val="18"/>
              </w:rPr>
              <w:t xml:space="preserve">Remember</w:t>
            </w:r>
          </w:p>
        </w:tc>
        <w:tc>
          <w:tcPr/>
          <w:p>
            <w:pPr>
              <w:pStyle w:val="Compact"/>
              <w:jc w:val="left"/>
            </w:pPr>
            <w:r>
              <w:rPr>
                <w:sz w:val="18"/>
              </w:rPr>
              <w:t xml:space="preserve">Define, list, recall, state, name, identify</w:t>
            </w:r>
          </w:p>
        </w:tc>
      </w:tr>
      <w:tr>
        <w:tc>
          <w:tcPr/>
          <w:p>
            <w:pPr>
              <w:pStyle w:val="Compact"/>
              <w:jc w:val="left"/>
            </w:pPr>
            <w:r>
              <w:rPr>
                <w:sz w:val="18"/>
              </w:rPr>
              <w:t xml:space="preserve">L2</w:t>
            </w:r>
          </w:p>
        </w:tc>
        <w:tc>
          <w:tcPr/>
          <w:p>
            <w:pPr>
              <w:pStyle w:val="Compact"/>
              <w:jc w:val="left"/>
            </w:pPr>
            <w:r>
              <w:rPr>
                <w:sz w:val="18"/>
              </w:rPr>
              <w:t xml:space="preserve">Understand</w:t>
            </w:r>
          </w:p>
        </w:tc>
        <w:tc>
          <w:tcPr/>
          <w:p>
            <w:pPr>
              <w:pStyle w:val="Compact"/>
              <w:jc w:val="left"/>
            </w:pPr>
            <w:r>
              <w:rPr>
                <w:sz w:val="18"/>
              </w:rPr>
              <w:t xml:space="preserve">Explain, describe, summarise, classify, discuss, interpret</w:t>
            </w:r>
          </w:p>
        </w:tc>
      </w:tr>
      <w:tr>
        <w:tc>
          <w:tcPr/>
          <w:p>
            <w:pPr>
              <w:pStyle w:val="Compact"/>
              <w:jc w:val="left"/>
            </w:pPr>
            <w:r>
              <w:rPr>
                <w:sz w:val="18"/>
              </w:rPr>
              <w:t xml:space="preserve">L3</w:t>
            </w:r>
          </w:p>
        </w:tc>
        <w:tc>
          <w:tcPr/>
          <w:p>
            <w:pPr>
              <w:pStyle w:val="Compact"/>
              <w:jc w:val="left"/>
            </w:pPr>
            <w:r>
              <w:rPr>
                <w:sz w:val="18"/>
              </w:rPr>
              <w:t xml:space="preserve">Apply</w:t>
            </w:r>
          </w:p>
        </w:tc>
        <w:tc>
          <w:tcPr/>
          <w:p>
            <w:pPr>
              <w:pStyle w:val="Compact"/>
              <w:jc w:val="left"/>
            </w:pPr>
            <w:r>
              <w:rPr>
                <w:sz w:val="18"/>
              </w:rPr>
              <w:t xml:space="preserve">Apply, solve, use, implement, compute, demonstrate</w:t>
            </w:r>
          </w:p>
        </w:tc>
      </w:tr>
      <w:tr>
        <w:tc>
          <w:tcPr/>
          <w:p>
            <w:pPr>
              <w:pStyle w:val="Compact"/>
              <w:jc w:val="left"/>
            </w:pPr>
            <w:r>
              <w:rPr>
                <w:sz w:val="18"/>
              </w:rPr>
              <w:t xml:space="preserve">L4</w:t>
            </w:r>
          </w:p>
        </w:tc>
        <w:tc>
          <w:tcPr/>
          <w:p>
            <w:pPr>
              <w:pStyle w:val="Compact"/>
              <w:jc w:val="left"/>
            </w:pPr>
            <w:r>
              <w:rPr>
                <w:sz w:val="18"/>
              </w:rPr>
              <w:t xml:space="preserve">Analyse</w:t>
            </w:r>
          </w:p>
        </w:tc>
        <w:tc>
          <w:tcPr/>
          <w:p>
            <w:pPr>
              <w:pStyle w:val="Compact"/>
              <w:jc w:val="left"/>
            </w:pPr>
            <w:r>
              <w:rPr>
                <w:sz w:val="18"/>
              </w:rPr>
              <w:t xml:space="preserve">Analyse, compare, differentiate, examine, distinguish, select (for a purpose)</w:t>
            </w:r>
          </w:p>
        </w:tc>
      </w:tr>
      <w:tr>
        <w:tc>
          <w:tcPr/>
          <w:p>
            <w:pPr>
              <w:pStyle w:val="Compact"/>
              <w:jc w:val="left"/>
            </w:pPr>
            <w:r>
              <w:rPr>
                <w:sz w:val="18"/>
              </w:rPr>
              <w:t xml:space="preserve">L5</w:t>
            </w:r>
          </w:p>
        </w:tc>
        <w:tc>
          <w:tcPr/>
          <w:p>
            <w:pPr>
              <w:pStyle w:val="Compact"/>
              <w:jc w:val="left"/>
            </w:pPr>
            <w:r>
              <w:rPr>
                <w:sz w:val="18"/>
              </w:rPr>
              <w:t xml:space="preserve">Evaluate</w:t>
            </w:r>
          </w:p>
        </w:tc>
        <w:tc>
          <w:tcPr/>
          <w:p>
            <w:pPr>
              <w:pStyle w:val="Compact"/>
              <w:jc w:val="left"/>
            </w:pPr>
            <w:r>
              <w:rPr>
                <w:sz w:val="18"/>
              </w:rPr>
              <w:t xml:space="preserve">Evaluate, assess, justify, critique, judge, recommend</w:t>
            </w:r>
          </w:p>
        </w:tc>
      </w:tr>
      <w:tr>
        <w:tc>
          <w:tcPr/>
          <w:p>
            <w:pPr>
              <w:pStyle w:val="Compact"/>
              <w:jc w:val="left"/>
            </w:pPr>
            <w:r>
              <w:rPr>
                <w:sz w:val="18"/>
              </w:rPr>
              <w:t xml:space="preserve">L6</w:t>
            </w:r>
          </w:p>
        </w:tc>
        <w:tc>
          <w:tcPr/>
          <w:p>
            <w:pPr>
              <w:pStyle w:val="Compact"/>
              <w:jc w:val="left"/>
            </w:pPr>
            <w:r>
              <w:rPr>
                <w:sz w:val="18"/>
              </w:rPr>
              <w:t xml:space="preserve">Create</w:t>
            </w:r>
          </w:p>
        </w:tc>
        <w:tc>
          <w:tcPr/>
          <w:p>
            <w:pPr>
              <w:pStyle w:val="Compact"/>
              <w:jc w:val="left"/>
            </w:pPr>
            <w:r>
              <w:rPr>
                <w:sz w:val="18"/>
              </w:rPr>
              <w:t xml:space="preserve">Design, develop, build, construct, formulate, propose</w:t>
            </w:r>
          </w:p>
        </w:tc>
      </w:tr>
    </w:tbl>
    <w:p>
      <w:pPr>
        <w:pStyle w:val="BodyText"/>
      </w:pPr>
      <w:r>
        <w:rPr>
          <w:bCs/>
          <w:b/>
        </w:rPr>
        <w:t xml:space="preserve">Mapping scale:</w:t>
      </w:r>
      <w:r>
        <w:t xml:space="preserve"> </w:t>
      </w:r>
      <w:r>
        <w:t xml:space="preserve">3 = very strong contribution, 2 = strong contribution, 1 = moderate contribution, blank = no contribution.</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rPr>
  </w:style>
  <w:style w:type="character" w:customStyle="1" w:styleId="KeywordTok">
    <w:name w:val="KeywordTok"/>
    <w:basedOn w:val="VerbatimChar"/>
    <w:rPr>
      <w:color w:val="007020"/>
      <w:rFonts w:ascii="Calibri" w:hAnsi="Calibri"/>
      <w:b/>
    </w:rPr>
  </w:style>
  <w:style w:type="character" w:customStyle="1" w:styleId="DataTypeTok">
    <w:name w:val="DataTypeTok"/>
    <w:basedOn w:val="VerbatimChar"/>
    <w:rPr>
      <w:rFonts w:ascii="Calibri" w:hAnsi="Calibri"/>
      <w:color w:val="902000"/>
    </w:rPr>
  </w:style>
  <w:style w:type="character" w:customStyle="1" w:styleId="DecValTok">
    <w:name w:val="DecValTok"/>
    <w:basedOn w:val="VerbatimChar"/>
    <w:rPr>
      <w:rFonts w:ascii="Calibri" w:hAnsi="Calibri"/>
      <w:color w:val="40a070"/>
    </w:rPr>
  </w:style>
  <w:style w:type="character" w:customStyle="1" w:styleId="BaseNTok">
    <w:name w:val="BaseNTok"/>
    <w:basedOn w:val="VerbatimChar"/>
    <w:rPr>
      <w:rFonts w:ascii="Calibri" w:hAnsi="Calibri"/>
      <w:color w:val="40a070"/>
    </w:rPr>
  </w:style>
  <w:style w:type="character" w:customStyle="1" w:styleId="FloatTok">
    <w:name w:val="FloatTok"/>
    <w:basedOn w:val="VerbatimChar"/>
    <w:rPr>
      <w:rFonts w:ascii="Calibri" w:hAnsi="Calibri"/>
      <w:color w:val="40a070"/>
    </w:rPr>
  </w:style>
  <w:style w:type="character" w:customStyle="1" w:styleId="ConstantTok">
    <w:name w:val="ConstantTok"/>
    <w:basedOn w:val="VerbatimChar"/>
    <w:rPr>
      <w:rFonts w:ascii="Calibri" w:hAnsi="Calibri"/>
      <w:color w:val="880000"/>
    </w:rPr>
  </w:style>
  <w:style w:type="character" w:customStyle="1" w:styleId="CharTok">
    <w:name w:val="CharTok"/>
    <w:basedOn w:val="VerbatimChar"/>
    <w:rPr>
      <w:rFonts w:ascii="Calibri" w:hAnsi="Calibri"/>
      <w:color w:val="4070a0"/>
    </w:rPr>
  </w:style>
  <w:style w:type="character" w:customStyle="1" w:styleId="SpecialCharTok">
    <w:name w:val="SpecialCharTok"/>
    <w:basedOn w:val="VerbatimChar"/>
    <w:rPr>
      <w:rFonts w:ascii="Calibri" w:hAnsi="Calibri"/>
      <w:color w:val="4070a0"/>
    </w:rPr>
  </w:style>
  <w:style w:type="character" w:customStyle="1" w:styleId="StringTok">
    <w:name w:val="StringTok"/>
    <w:basedOn w:val="VerbatimChar"/>
    <w:rPr>
      <w:rFonts w:ascii="Calibri" w:hAnsi="Calibri"/>
      <w:color w:val="4070a0"/>
    </w:rPr>
  </w:style>
  <w:style w:type="character" w:customStyle="1" w:styleId="VerbatimStringTok">
    <w:name w:val="VerbatimStringTok"/>
    <w:basedOn w:val="VerbatimChar"/>
    <w:rPr>
      <w:rFonts w:ascii="Calibri" w:hAnsi="Calibri"/>
      <w:color w:val="4070a0"/>
    </w:rPr>
  </w:style>
  <w:style w:type="character" w:customStyle="1" w:styleId="SpecialStringTok">
    <w:name w:val="SpecialStringTok"/>
    <w:basedOn w:val="VerbatimChar"/>
    <w:rPr>
      <w:rFonts w:ascii="Calibri" w:hAnsi="Calibri"/>
      <w:color w:val="bb6688"/>
    </w:rPr>
  </w:style>
  <w:style w:type="character" w:customStyle="1" w:styleId="ImportTok">
    <w:name w:val="ImportTok"/>
    <w:basedOn w:val="VerbatimChar"/>
    <w:rPr>
      <w:color w:val="008000"/>
      <w:rFonts w:ascii="Calibri" w:hAnsi="Calibri"/>
      <w:b/>
    </w:rPr>
  </w:style>
  <w:style w:type="character" w:customStyle="1" w:styleId="CommentTok">
    <w:name w:val="CommentTok"/>
    <w:basedOn w:val="VerbatimChar"/>
    <w:rPr>
      <w:color w:val="60a0b0"/>
      <w:rFonts w:ascii="Calibri" w:hAnsi="Calibri"/>
      <w:i/>
    </w:rPr>
  </w:style>
  <w:style w:type="character" w:customStyle="1" w:styleId="DocumentationTok">
    <w:name w:val="DocumentationTok"/>
    <w:basedOn w:val="VerbatimChar"/>
    <w:rPr>
      <w:color w:val="ba2121"/>
      <w:rFonts w:ascii="Calibri" w:hAnsi="Calibri"/>
      <w:i/>
    </w:rPr>
  </w:style>
  <w:style w:type="character" w:customStyle="1" w:styleId="AnnotationTok">
    <w:name w:val="AnnotationTok"/>
    <w:basedOn w:val="VerbatimChar"/>
    <w:rPr>
      <w:color w:val="60a0b0"/>
      <w:rFonts w:ascii="Calibri" w:hAnsi="Calibri"/>
      <w:b/>
      <w:i/>
    </w:rPr>
  </w:style>
  <w:style w:type="character" w:customStyle="1" w:styleId="CommentVarTok">
    <w:name w:val="CommentVarTok"/>
    <w:basedOn w:val="VerbatimChar"/>
    <w:rPr>
      <w:color w:val="60a0b0"/>
      <w:rFonts w:ascii="Calibri" w:hAnsi="Calibri"/>
      <w:b/>
      <w:i/>
    </w:rPr>
  </w:style>
  <w:style w:type="character" w:customStyle="1" w:styleId="OtherTok">
    <w:name w:val="OtherTok"/>
    <w:basedOn w:val="VerbatimChar"/>
    <w:rPr>
      <w:rFonts w:ascii="Calibri" w:hAnsi="Calibri"/>
      <w:color w:val="007020"/>
    </w:rPr>
  </w:style>
  <w:style w:type="character" w:customStyle="1" w:styleId="FunctionTok">
    <w:name w:val="FunctionTok"/>
    <w:basedOn w:val="VerbatimChar"/>
    <w:rPr>
      <w:rFonts w:ascii="Calibri" w:hAnsi="Calibri"/>
      <w:color w:val="06287e"/>
    </w:rPr>
  </w:style>
  <w:style w:type="character" w:customStyle="1" w:styleId="VariableTok">
    <w:name w:val="VariableTok"/>
    <w:basedOn w:val="VerbatimChar"/>
    <w:rPr>
      <w:rFonts w:ascii="Calibri" w:hAnsi="Calibri"/>
      <w:color w:val="19177c"/>
    </w:rPr>
  </w:style>
  <w:style w:type="character" w:customStyle="1" w:styleId="ControlFlowTok">
    <w:name w:val="ControlFlowTok"/>
    <w:basedOn w:val="VerbatimChar"/>
    <w:rPr>
      <w:color w:val="007020"/>
      <w:rFonts w:ascii="Calibri" w:hAnsi="Calibri"/>
      <w:b/>
    </w:rPr>
  </w:style>
  <w:style w:type="character" w:customStyle="1" w:styleId="OperatorTok">
    <w:name w:val="OperatorTok"/>
    <w:basedOn w:val="VerbatimChar"/>
    <w:rPr>
      <w:rFonts w:ascii="Calibri" w:hAnsi="Calibri"/>
      <w:color w:val="666666"/>
    </w:rPr>
  </w:style>
  <w:style w:type="character" w:customStyle="1" w:styleId="BuiltInTok">
    <w:name w:val="BuiltInTok"/>
    <w:basedOn w:val="VerbatimChar"/>
    <w:rPr>
      <w:rFonts w:ascii="Calibri" w:hAnsi="Calibri"/>
      <w:color w:val="008000"/>
    </w:rPr>
  </w:style>
  <w:style w:type="character" w:customStyle="1" w:styleId="ExtensionTok">
    <w:name w:val="ExtensionTok"/>
    <w:basedOn w:val="VerbatimChar"/>
    <w:rPr>
      <w:rFonts w:ascii="Calibri" w:hAnsi="Calibri"/>
    </w:rPr>
  </w:style>
  <w:style w:type="character" w:customStyle="1" w:styleId="PreprocessorTok">
    <w:name w:val="PreprocessorTok"/>
    <w:basedOn w:val="VerbatimChar"/>
    <w:rPr>
      <w:rFonts w:ascii="Calibri" w:hAnsi="Calibri"/>
      <w:color w:val="bc7a00"/>
    </w:rPr>
  </w:style>
  <w:style w:type="character" w:customStyle="1" w:styleId="AttributeTok">
    <w:name w:val="AttributeTok"/>
    <w:basedOn w:val="VerbatimChar"/>
    <w:rPr>
      <w:rFonts w:ascii="Calibri" w:hAnsi="Calibri"/>
      <w:color w:val="7d9029"/>
    </w:rPr>
  </w:style>
  <w:style w:type="character" w:customStyle="1" w:styleId="RegionMarkerTok">
    <w:name w:val="RegionMarkerTok"/>
    <w:basedOn w:val="VerbatimChar"/>
    <w:rPr>
      <w:rFonts w:ascii="Calibri" w:hAnsi="Calibri"/>
    </w:rPr>
  </w:style>
  <w:style w:type="character" w:customStyle="1" w:styleId="InformationTok">
    <w:name w:val="InformationTok"/>
    <w:basedOn w:val="VerbatimChar"/>
    <w:rPr>
      <w:color w:val="60a0b0"/>
      <w:rFonts w:ascii="Calibri" w:hAnsi="Calibri"/>
      <w:b/>
      <w:i/>
    </w:rPr>
  </w:style>
  <w:style w:type="character" w:customStyle="1" w:styleId="WarningTok">
    <w:name w:val="WarningTok"/>
    <w:basedOn w:val="VerbatimChar"/>
    <w:rPr>
      <w:color w:val="60a0b0"/>
      <w:rFonts w:ascii="Calibri" w:hAnsi="Calibri"/>
      <w:b/>
      <w:i/>
    </w:rPr>
  </w:style>
  <w:style w:type="character" w:customStyle="1" w:styleId="AlertTok">
    <w:name w:val="AlertTok"/>
    <w:basedOn w:val="VerbatimChar"/>
    <w:rPr>
      <w:color w:val="ff0000"/>
      <w:rFonts w:ascii="Calibri" w:hAnsi="Calibri"/>
      <w:b/>
    </w:rPr>
  </w:style>
  <w:style w:type="character" w:customStyle="1" w:styleId="ErrorTok">
    <w:name w:val="ErrorTok"/>
    <w:basedOn w:val="VerbatimChar"/>
    <w:rPr>
      <w:color w:val="ff0000"/>
      <w:rFonts w:ascii="Calibri" w:hAnsi="Calibri"/>
      <w:b/>
    </w:rPr>
  </w:style>
  <w:style w:type="character" w:customStyle="1" w:styleId="NormalTok">
    <w:name w:val="NormalTok"/>
    <w:basedOn w:val="VerbatimChar"/>
    <w:rPr>
      <w:rFonts w:ascii="Calibri" w:hAnsi="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 – Programme Outcomes, PSOs and Bloom’s Taxonomy</dc:title>
  <dc:creator/>
  <cp:keywords/>
  <dcterms:created xsi:type="dcterms:W3CDTF">2026-10-26T13:26:22Z</dcterms:created>
  <dcterms:modified xsi:type="dcterms:W3CDTF">2026-10-26T13:26:22Z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SpecForge Hackathon – Reference for CO–PO–PSO mapping</vt:lpwstr>
  </property>
</Properties>
</file>