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9d80802ede2cd51e4b4c61dde7d062280ce376"/>
    <w:p>
      <w:pPr>
        <w:pStyle w:val="Heading3"/>
      </w:pPr>
      <w:r>
        <w:t xml:space="preserve">5.X DBSCAN Hotspot Validation and Sensitivity Analysis</w:t>
      </w:r>
    </w:p>
    <w:p>
      <w:pPr>
        <w:pStyle w:val="FirstParagraph"/>
      </w:pPr>
      <w:r>
        <w:t xml:space="preserve">To identify spatial waste accumulation hotspots, the Density-Based Spatial Clustering of Applications with Noise (DBSCAN) algorithm was applied to ward-level waste severity data. The input dataset consisted of 50 wards represented by latitude, longitude, and Smart Waste Severity Index (SWSI) values.</w:t>
      </w:r>
    </w:p>
    <w:p>
      <w:pPr>
        <w:pStyle w:val="BodyText"/>
      </w:pPr>
      <w:r>
        <w:t xml:space="preserve">Since real municipal GPS coordinates were unavailable during the prototype development stage, synthetic ward coordinates were generated to simulate urban waste distribution patterns. Consequently, the clustering results should be interpreted as prototype-level validation rather than operational municipal deployment results.</w:t>
      </w:r>
    </w:p>
    <w:p>
      <w:pPr>
        <w:pStyle w:val="BodyText"/>
      </w:pPr>
      <w:r>
        <w:t xml:space="preserve">The DBSCAN model was configured using an epsilon (ε) value of 0.003 and a minimum sample threshold (MinPts) of 5. Under these settings, the algorithm identified three distinct waste hotspot clusters with zero noise points.</w:t>
      </w:r>
    </w:p>
    <w:p>
      <w:pPr>
        <w:pStyle w:val="BodyText"/>
      </w:pPr>
      <w:r>
        <w:t xml:space="preserve">Table X summarizes the final DBSCAN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Number of Observations</w:t>
            </w:r>
          </w:p>
        </w:tc>
        <w:tc>
          <w:tcPr/>
          <w:p>
            <w:pPr>
              <w:pStyle w:val="Compact"/>
            </w:pPr>
            <w:r>
              <w:t xml:space="preserve">50</w:t>
            </w:r>
          </w:p>
        </w:tc>
      </w:tr>
      <w:tr>
        <w:tc>
          <w:tcPr/>
          <w:p>
            <w:pPr>
              <w:pStyle w:val="Compact"/>
            </w:pPr>
            <w:r>
              <w:t xml:space="preserve">Latitude/Longitude Source</w:t>
            </w:r>
          </w:p>
        </w:tc>
        <w:tc>
          <w:tcPr/>
          <w:p>
            <w:pPr>
              <w:pStyle w:val="Compact"/>
            </w:pPr>
            <w:r>
              <w:t xml:space="preserve">Synthetic</w:t>
            </w:r>
          </w:p>
        </w:tc>
      </w:tr>
      <w:tr>
        <w:tc>
          <w:tcPr/>
          <w:p>
            <w:pPr>
              <w:pStyle w:val="Compact"/>
            </w:pPr>
            <w:r>
              <w:t xml:space="preserve">Clustering Algorithm</w:t>
            </w:r>
          </w:p>
        </w:tc>
        <w:tc>
          <w:tcPr/>
          <w:p>
            <w:pPr>
              <w:pStyle w:val="Compact"/>
            </w:pPr>
            <w:r>
              <w:t xml:space="preserve">DBSCAN</w:t>
            </w:r>
          </w:p>
        </w:tc>
      </w:tr>
      <w:tr>
        <w:tc>
          <w:tcPr/>
          <w:p>
            <w:pPr>
              <w:pStyle w:val="Compact"/>
            </w:pPr>
            <w:r>
              <w:t xml:space="preserve">Epsilon (ε)</w:t>
            </w:r>
          </w:p>
        </w:tc>
        <w:tc>
          <w:tcPr/>
          <w:p>
            <w:pPr>
              <w:pStyle w:val="Compact"/>
            </w:pPr>
            <w:r>
              <w:t xml:space="preserve">0.003</w:t>
            </w:r>
          </w:p>
        </w:tc>
      </w:tr>
      <w:tr>
        <w:tc>
          <w:tcPr/>
          <w:p>
            <w:pPr>
              <w:pStyle w:val="Compact"/>
            </w:pPr>
            <w:r>
              <w:t xml:space="preserve">MinPts</w:t>
            </w:r>
          </w:p>
        </w:tc>
        <w:tc>
          <w:tcPr/>
          <w:p>
            <w:pPr>
              <w:pStyle w:val="Compact"/>
            </w:pPr>
            <w:r>
              <w:t xml:space="preserve">5</w:t>
            </w:r>
          </w:p>
        </w:tc>
      </w:tr>
      <w:tr>
        <w:tc>
          <w:tcPr/>
          <w:p>
            <w:pPr>
              <w:pStyle w:val="Compact"/>
            </w:pPr>
            <w:r>
              <w:t xml:space="preserve">Number of Clusters</w:t>
            </w:r>
          </w:p>
        </w:tc>
        <w:tc>
          <w:tcPr/>
          <w:p>
            <w:pPr>
              <w:pStyle w:val="Compact"/>
            </w:pPr>
            <w:r>
              <w:t xml:space="preserve">3</w:t>
            </w:r>
          </w:p>
        </w:tc>
      </w:tr>
      <w:tr>
        <w:tc>
          <w:tcPr/>
          <w:p>
            <w:pPr>
              <w:pStyle w:val="Compact"/>
            </w:pPr>
            <w:r>
              <w:t xml:space="preserve">Noise Points</w:t>
            </w:r>
          </w:p>
        </w:tc>
        <w:tc>
          <w:tcPr/>
          <w:p>
            <w:pPr>
              <w:pStyle w:val="Compact"/>
            </w:pPr>
            <w:r>
              <w:t xml:space="preserve">0</w:t>
            </w:r>
          </w:p>
        </w:tc>
      </w:tr>
    </w:tbl>
    <w:p>
      <w:pPr>
        <w:pStyle w:val="BodyText"/>
      </w:pPr>
      <w:r>
        <w:t xml:space="preserve">After clustering, hotspot prioritization was performed using the average SWSI value of each cluster. Cluster 0 exhibited the highest average SWSI score (79.11) and was therefore assigned the highest priority for municipal intervention. Cluster 1 achieved an average SWSI score of 45.31, while Cluster 2 achieved an average SWSI score of 20.70.</w:t>
      </w:r>
    </w:p>
    <w:p>
      <w:pPr>
        <w:pStyle w:val="BodyText"/>
      </w:pPr>
      <w:r>
        <w:t xml:space="preserve">A sensitivity analysis was conducted by varying the epsilon parameter while maintaining MinPts =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ε Value</w:t>
            </w:r>
          </w:p>
        </w:tc>
        <w:tc>
          <w:tcPr/>
          <w:p>
            <w:pPr>
              <w:pStyle w:val="Compact"/>
            </w:pPr>
            <w:r>
              <w:t xml:space="preserve">Clusters</w:t>
            </w:r>
          </w:p>
        </w:tc>
        <w:tc>
          <w:tcPr/>
          <w:p>
            <w:pPr>
              <w:pStyle w:val="Compact"/>
            </w:pPr>
            <w:r>
              <w:t xml:space="preserve">Noise Points</w:t>
            </w:r>
          </w:p>
        </w:tc>
      </w:tr>
      <w:tr>
        <w:tc>
          <w:tcPr/>
          <w:p>
            <w:pPr>
              <w:pStyle w:val="Compact"/>
            </w:pPr>
            <w:r>
              <w:t xml:space="preserve">0.001</w:t>
            </w:r>
          </w:p>
        </w:tc>
        <w:tc>
          <w:tcPr/>
          <w:p>
            <w:pPr>
              <w:pStyle w:val="Compact"/>
            </w:pPr>
            <w:r>
              <w:t xml:space="preserve">0</w:t>
            </w:r>
          </w:p>
        </w:tc>
        <w:tc>
          <w:tcPr/>
          <w:p>
            <w:pPr>
              <w:pStyle w:val="Compact"/>
            </w:pPr>
            <w:r>
              <w:t xml:space="preserve">50</w:t>
            </w:r>
          </w:p>
        </w:tc>
      </w:tr>
      <w:tr>
        <w:tc>
          <w:tcPr/>
          <w:p>
            <w:pPr>
              <w:pStyle w:val="Compact"/>
            </w:pPr>
            <w:r>
              <w:t xml:space="preserve">0.003</w:t>
            </w:r>
          </w:p>
        </w:tc>
        <w:tc>
          <w:tcPr/>
          <w:p>
            <w:pPr>
              <w:pStyle w:val="Compact"/>
            </w:pPr>
            <w:r>
              <w:t xml:space="preserve">3</w:t>
            </w:r>
          </w:p>
        </w:tc>
        <w:tc>
          <w:tcPr/>
          <w:p>
            <w:pPr>
              <w:pStyle w:val="Compact"/>
            </w:pPr>
            <w:r>
              <w:t xml:space="preserve">0</w:t>
            </w:r>
          </w:p>
        </w:tc>
      </w:tr>
      <w:tr>
        <w:tc>
          <w:tcPr/>
          <w:p>
            <w:pPr>
              <w:pStyle w:val="Compact"/>
            </w:pPr>
            <w:r>
              <w:t xml:space="preserve">0.005</w:t>
            </w:r>
          </w:p>
        </w:tc>
        <w:tc>
          <w:tcPr/>
          <w:p>
            <w:pPr>
              <w:pStyle w:val="Compact"/>
            </w:pPr>
            <w:r>
              <w:t xml:space="preserve">1</w:t>
            </w:r>
          </w:p>
        </w:tc>
        <w:tc>
          <w:tcPr/>
          <w:p>
            <w:pPr>
              <w:pStyle w:val="Compact"/>
            </w:pPr>
            <w:r>
              <w:t xml:space="preserve">0</w:t>
            </w:r>
          </w:p>
        </w:tc>
      </w:tr>
    </w:tbl>
    <w:p>
      <w:pPr>
        <w:pStyle w:val="BodyText"/>
      </w:pPr>
      <w:r>
        <w:t xml:space="preserve">The results indicate that ε = 0.003 provides the most meaningful clustering structure for the prototype dataset. Smaller values result in excessive noise classification, whereas larger values merge distinct hotspots into a single cluster.</w:t>
      </w:r>
    </w:p>
    <w:p>
      <w:pPr>
        <w:pStyle w:val="BodyText"/>
      </w:pPr>
      <w:r>
        <w:t xml:space="preserve">These findings demonstrate the feasibility of integrating spatial hotspot analytics with waste severity assessment for municipal decision-support applications.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2026-06-12T13:21:31Z</dcterms:created>
  <dcterms:modified xsi:type="dcterms:W3CDTF">2026-06-12T13:21:31Z</dcterms:modified>
</cp:coreProperties>
</file>

<file path=docProps/custom.xml><?xml version="1.0" encoding="utf-8"?>
<Properties xmlns="http://schemas.openxmlformats.org/officeDocument/2006/custom-properties" xmlns:vt="http://schemas.openxmlformats.org/officeDocument/2006/docPropsVTypes"/>
</file>