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8" w:name="Xc7e4d8d32b245292b7396a30f0ab24a07025908"/>
    <w:p>
      <w:pPr>
        <w:pStyle w:val="Heading1"/>
      </w:pPr>
      <w:r>
        <w:t xml:space="preserve">Resource Allocation Model with Optimization Scope</w:t>
      </w:r>
    </w:p>
    <w:bookmarkStart w:id="20" w:name="introduction"/>
    <w:p>
      <w:pPr>
        <w:pStyle w:val="Heading2"/>
      </w:pPr>
      <w:r>
        <w:t xml:space="preserve">1. Introduction</w:t>
      </w:r>
    </w:p>
    <w:p>
      <w:pPr>
        <w:pStyle w:val="FirstParagraph"/>
      </w:pPr>
      <w:r>
        <w:t xml:space="preserve">Efficient waste management in smart cities requires not only the detection of waste accumulation but also the effective allocation of municipal resources for timely cleanup and sanitation operations. While the YOLOv8-based waste detection module identifies waste objects and the Smart Waste Severity Index (SWSI) quantifies waste severity, municipal authorities require actionable recommendations regarding workforce deployment, vehicle allocation, and operational prioritization.</w:t>
      </w:r>
    </w:p>
    <w:p>
      <w:pPr>
        <w:pStyle w:val="BodyText"/>
      </w:pPr>
      <w:r>
        <w:t xml:space="preserve">To address this requirement, a Resource Allocation Module is integrated into the proposed Smart City Garbage Analytics Framework. The module transforms waste detection outputs into practical municipal actions by assigning workers and collection vehicles according to waste severity and hotspot status. The current implementation employs a rule-based allocation strategy due to its simplicity, transparency, and ease of deployment. Furthermore, future optimization-based approaches are proposed to improve allocation efficiency and scalability.</w:t>
      </w:r>
    </w:p>
    <w:p>
      <w:r>
        <w:pict>
          <v:rect style="width:0;height:1.5pt" o:hralign="center" o:hrstd="t" o:hr="t"/>
        </w:pict>
      </w:r>
    </w:p>
    <w:bookmarkEnd w:id="20"/>
    <w:bookmarkStart w:id="24" w:name="inputs-to-the-resource-allocation-module"/>
    <w:p>
      <w:pPr>
        <w:pStyle w:val="Heading2"/>
      </w:pPr>
      <w:r>
        <w:t xml:space="preserve">2. Inputs to the Resource Allocation Module</w:t>
      </w:r>
    </w:p>
    <w:p>
      <w:pPr>
        <w:pStyle w:val="FirstParagraph"/>
      </w:pPr>
      <w:r>
        <w:t xml:space="preserve">The resource allocation module receives inputs from three major components of the framework.</w:t>
      </w:r>
    </w:p>
    <w:bookmarkStart w:id="21" w:name="yolov8-waste-detection-module"/>
    <w:p>
      <w:pPr>
        <w:pStyle w:val="Heading3"/>
      </w:pPr>
      <w:r>
        <w:t xml:space="preserve">2.1 YOLOv8 Waste Detection Module</w:t>
      </w:r>
    </w:p>
    <w:p>
      <w:pPr>
        <w:pStyle w:val="FirstParagraph"/>
      </w:pPr>
      <w:r>
        <w:t xml:space="preserve">The object detection module provides:</w:t>
      </w:r>
    </w:p>
    <w:p>
      <w:pPr>
        <w:pStyle w:val="BodyText"/>
      </w:pPr>
      <w:r>
        <w:t xml:space="preserve">• Total waste count</w:t>
      </w:r>
    </w:p>
    <w:p>
      <w:pPr>
        <w:pStyle w:val="BodyText"/>
      </w:pPr>
      <w:r>
        <w:t xml:space="preserve">• Waste category information</w:t>
      </w:r>
    </w:p>
    <w:p>
      <w:pPr>
        <w:pStyle w:val="BodyText"/>
      </w:pPr>
      <w:r>
        <w:t xml:space="preserve">• Spatial location of waste observations</w:t>
      </w:r>
    </w:p>
    <w:p>
      <w:pPr>
        <w:pStyle w:val="BodyText"/>
      </w:pPr>
      <w:r>
        <w:t xml:space="preserve">• Detection confidence scores</w:t>
      </w:r>
    </w:p>
    <w:p>
      <w:pPr>
        <w:pStyle w:val="BodyText"/>
      </w:pPr>
      <w:r>
        <w:t xml:space="preserve">These outputs provide quantitative information regarding waste accumulation levels within each monitored ward.</w:t>
      </w:r>
    </w:p>
    <w:bookmarkEnd w:id="21"/>
    <w:bookmarkStart w:id="22" w:name="smart-waste-severity-index-swsi"/>
    <w:p>
      <w:pPr>
        <w:pStyle w:val="Heading3"/>
      </w:pPr>
      <w:r>
        <w:t xml:space="preserve">2.2 Smart Waste Severity Index (SWSI)</w:t>
      </w:r>
    </w:p>
    <w:p>
      <w:pPr>
        <w:pStyle w:val="FirstParagraph"/>
      </w:pPr>
      <w:r>
        <w:t xml:space="preserve">The AHP-validated Smart Waste Severity Index (SWSI) provides a numerical measure of waste severity by integrating four validated criteria:</w:t>
      </w:r>
    </w:p>
    <w:p>
      <w:pPr>
        <w:pStyle w:val="BodyText"/>
      </w:pPr>
      <w:r>
        <w:t xml:space="preserve">• Waste Count (WC)</w:t>
      </w:r>
    </w:p>
    <w:p>
      <w:pPr>
        <w:pStyle w:val="BodyText"/>
      </w:pPr>
      <w:r>
        <w:t xml:space="preserve">• Waste Type Weight (WTW)</w:t>
      </w:r>
    </w:p>
    <w:p>
      <w:pPr>
        <w:pStyle w:val="BodyText"/>
      </w:pPr>
      <w:r>
        <w:t xml:space="preserve">• Location Sensitivity (LS)</w:t>
      </w:r>
    </w:p>
    <w:p>
      <w:pPr>
        <w:pStyle w:val="BodyText"/>
      </w:pPr>
      <w:r>
        <w:t xml:space="preserve">• Historical Frequency (HF)</w:t>
      </w:r>
    </w:p>
    <w:p>
      <w:pPr>
        <w:pStyle w:val="BodyText"/>
      </w:pPr>
      <w:r>
        <w:t xml:space="preserve">The final approved AHP-derived SWSI formula is:</w:t>
      </w:r>
    </w:p>
    <w:p>
      <w:pPr>
        <w:pStyle w:val="BodyText"/>
      </w:pPr>
      <w:r>
        <w:t xml:space="preserve">SWSI = 0.4658(WC) + 0.2771(WTW) + 0.1611(LS) + 0.0960(HF)</w:t>
      </w:r>
    </w:p>
    <w:p>
      <w:pPr>
        <w:pStyle w:val="BodyText"/>
      </w:pPr>
      <w:r>
        <w:t xml:space="preserve">where:</w:t>
      </w:r>
    </w:p>
    <w:p>
      <w:pPr>
        <w:pStyle w:val="BodyText"/>
      </w:pPr>
      <w:r>
        <w:t xml:space="preserve">WC = Normalized Waste Count</w:t>
      </w:r>
    </w:p>
    <w:p>
      <w:pPr>
        <w:pStyle w:val="BodyText"/>
      </w:pPr>
      <w:r>
        <w:t xml:space="preserve">WTW = Normalized Waste Type Weight</w:t>
      </w:r>
    </w:p>
    <w:p>
      <w:pPr>
        <w:pStyle w:val="BodyText"/>
      </w:pPr>
      <w:r>
        <w:t xml:space="preserve">LS = Normalized Location Sensitivity</w:t>
      </w:r>
    </w:p>
    <w:p>
      <w:pPr>
        <w:pStyle w:val="BodyText"/>
      </w:pPr>
      <w:r>
        <w:t xml:space="preserve">HF = Normalized Historical Frequency</w:t>
      </w:r>
    </w:p>
    <w:p>
      <w:pPr>
        <w:pStyle w:val="BodyText"/>
      </w:pPr>
      <w:r>
        <w:t xml:space="preserve">The resulting SWSI score ranges from 0 to 100 and serves as the primary severity indicator used for hotspot prioritization and municipal resource allocation.</w:t>
      </w:r>
    </w:p>
    <w:bookmarkEnd w:id="22"/>
    <w:bookmarkStart w:id="23" w:name="dbscan-hotspot-detection-module"/>
    <w:p>
      <w:pPr>
        <w:pStyle w:val="Heading3"/>
      </w:pPr>
      <w:r>
        <w:t xml:space="preserve">2.3 DBSCAN Hotspot Detection Module</w:t>
      </w:r>
    </w:p>
    <w:p>
      <w:pPr>
        <w:pStyle w:val="FirstParagraph"/>
      </w:pPr>
      <w:r>
        <w:t xml:space="preserve">The DBSCAN clustering module provides:</w:t>
      </w:r>
    </w:p>
    <w:p>
      <w:pPr>
        <w:pStyle w:val="BodyText"/>
      </w:pPr>
      <w:r>
        <w:t xml:space="preserve">• Hotspot identification</w:t>
      </w:r>
    </w:p>
    <w:p>
      <w:pPr>
        <w:pStyle w:val="BodyText"/>
      </w:pPr>
      <w:r>
        <w:t xml:space="preserve">• Cluster density information</w:t>
      </w:r>
    </w:p>
    <w:p>
      <w:pPr>
        <w:pStyle w:val="BodyText"/>
      </w:pPr>
      <w:r>
        <w:t xml:space="preserve">• Spatial grouping of waste observations</w:t>
      </w:r>
    </w:p>
    <w:p>
      <w:pPr>
        <w:pStyle w:val="BodyText"/>
      </w:pPr>
      <w:r>
        <w:t xml:space="preserve">Hotspot information is critical for prioritizing municipal response actions.</w:t>
      </w:r>
    </w:p>
    <w:p>
      <w:r>
        <w:pict>
          <v:rect style="width:0;height:1.5pt" o:hralign="center" o:hrstd="t" o:hr="t"/>
        </w:pict>
      </w:r>
    </w:p>
    <w:bookmarkEnd w:id="23"/>
    <w:bookmarkEnd w:id="24"/>
    <w:bookmarkStart w:id="26" w:name="priority-scoring-logic"/>
    <w:p>
      <w:pPr>
        <w:pStyle w:val="Heading2"/>
      </w:pPr>
      <w:r>
        <w:t xml:space="preserve">3. Priority Scoring Logic</w:t>
      </w:r>
    </w:p>
    <w:p>
      <w:pPr>
        <w:pStyle w:val="FirstParagraph"/>
      </w:pPr>
      <w:r>
        <w:t xml:space="preserve">To support municipal decision-making, a Priority Score (PS) is computed using both waste severity and hotspot information.</w:t>
      </w:r>
    </w:p>
    <w:bookmarkStart w:id="25" w:name="priority-score-formula"/>
    <w:p>
      <w:pPr>
        <w:pStyle w:val="Heading3"/>
      </w:pPr>
      <w:r>
        <w:t xml:space="preserve">Priority Score Formula</w:t>
      </w:r>
    </w:p>
    <w:p>
      <w:pPr>
        <w:pStyle w:val="FirstParagraph"/>
      </w:pPr>
      <w:r>
        <w:t xml:space="preserve">PS = 0.6(SWSI) + 0.4(HotspotFactor)</w:t>
      </w:r>
    </w:p>
    <w:p>
      <w:pPr>
        <w:pStyle w:val="BodyText"/>
      </w:pPr>
      <w:r>
        <w:t xml:space="preserve">Where:</w:t>
      </w:r>
    </w:p>
    <w:p>
      <w:pPr>
        <w:pStyle w:val="BodyText"/>
      </w:pPr>
      <w:r>
        <w:t xml:space="preserve">• PS = Priority Score</w:t>
      </w:r>
    </w:p>
    <w:p>
      <w:pPr>
        <w:pStyle w:val="BodyText"/>
      </w:pPr>
      <w:r>
        <w:t xml:space="preserve">• SWSI = Smart Waste Severity Index</w:t>
      </w:r>
    </w:p>
    <w:p>
      <w:pPr>
        <w:pStyle w:val="BodyText"/>
      </w:pPr>
      <w:r>
        <w:t xml:space="preserve">• HotspotFactor = Hotspot Indicator</w:t>
      </w:r>
    </w:p>
    <w:p>
      <w:pPr>
        <w:pStyle w:val="BodyText"/>
      </w:pPr>
      <w:r>
        <w:t xml:space="preserve">The Hotspot Factor is defined as: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Hotspot Status</w:t>
            </w:r>
          </w:p>
        </w:tc>
        <w:tc>
          <w:tcPr/>
          <w:p>
            <w:pPr>
              <w:pStyle w:val="Compact"/>
            </w:pPr>
            <w:r>
              <w:t xml:space="preserve">HotspotFactor Value</w:t>
            </w:r>
          </w:p>
        </w:tc>
      </w:tr>
      <w:tr>
        <w:tc>
          <w:tcPr/>
          <w:p>
            <w:pPr>
              <w:pStyle w:val="Compact"/>
            </w:pPr>
            <w:r>
              <w:t xml:space="preserve">Hotspot</w:t>
            </w:r>
          </w:p>
        </w:tc>
        <w:tc>
          <w:tcPr/>
          <w:p>
            <w:pPr>
              <w:pStyle w:val="Compact"/>
            </w:pPr>
            <w:r>
              <w:t xml:space="preserve">100</w:t>
            </w:r>
          </w:p>
        </w:tc>
      </w:tr>
      <w:tr>
        <w:tc>
          <w:tcPr/>
          <w:p>
            <w:pPr>
              <w:pStyle w:val="Compact"/>
            </w:pPr>
            <w:r>
              <w:t xml:space="preserve">Non-Hotspot</w:t>
            </w:r>
          </w:p>
        </w:tc>
        <w:tc>
          <w:tcPr/>
          <w:p>
            <w:pPr>
              <w:pStyle w:val="Compact"/>
            </w:pPr>
            <w:r>
              <w:t xml:space="preserve">0</w:t>
            </w:r>
          </w:p>
        </w:tc>
      </w:tr>
    </w:tbl>
    <w:p>
      <w:pPr>
        <w:pStyle w:val="BodyText"/>
      </w:pPr>
      <w:r>
        <w:t xml:space="preserve">This formulation ensures that both waste severity and spatial concentration contribute to operational prioritization.</w:t>
      </w:r>
    </w:p>
    <w:p>
      <w:r>
        <w:pict>
          <v:rect style="width:0;height:1.5pt" o:hralign="center" o:hrstd="t" o:hr="t"/>
        </w:pict>
      </w:r>
    </w:p>
    <w:bookmarkEnd w:id="25"/>
    <w:bookmarkEnd w:id="26"/>
    <w:bookmarkStart w:id="28" w:name="priority-classification"/>
    <w:p>
      <w:pPr>
        <w:pStyle w:val="Heading2"/>
      </w:pPr>
      <w:r>
        <w:t xml:space="preserve">4. Priority Classification</w:t>
      </w:r>
    </w:p>
    <w:p>
      <w:pPr>
        <w:pStyle w:val="FirstParagraph"/>
      </w:pPr>
      <w:r>
        <w:t xml:space="preserve">Based on the computed Priority Score, each ward is assigned a priority level.</w:t>
      </w:r>
    </w:p>
    <w:bookmarkStart w:id="27" w:name="table-1.-priority-classification-rules"/>
    <w:p>
      <w:pPr>
        <w:pStyle w:val="Heading3"/>
      </w:pPr>
      <w:r>
        <w:t xml:space="preserve">Table 1. Priority Classification Rules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Priority Score Range</w:t>
            </w:r>
          </w:p>
        </w:tc>
        <w:tc>
          <w:tcPr/>
          <w:p>
            <w:pPr>
              <w:pStyle w:val="Compact"/>
            </w:pPr>
            <w:r>
              <w:t xml:space="preserve">Priority Level</w:t>
            </w:r>
          </w:p>
        </w:tc>
        <w:tc>
          <w:tcPr/>
          <w:p>
            <w:pPr>
              <w:pStyle w:val="Compact"/>
            </w:pPr>
            <w:r>
              <w:t xml:space="preserve">Municipal Response</w:t>
            </w:r>
          </w:p>
        </w:tc>
      </w:tr>
      <w:tr>
        <w:tc>
          <w:tcPr/>
          <w:p>
            <w:pPr>
              <w:pStyle w:val="Compact"/>
            </w:pPr>
            <w:r>
              <w:t xml:space="preserve">80 – 100</w:t>
            </w:r>
          </w:p>
        </w:tc>
        <w:tc>
          <w:tcPr/>
          <w:p>
            <w:pPr>
              <w:pStyle w:val="Compact"/>
            </w:pPr>
            <w:r>
              <w:t xml:space="preserve">Critical</w:t>
            </w:r>
          </w:p>
        </w:tc>
        <w:tc>
          <w:tcPr/>
          <w:p>
            <w:pPr>
              <w:pStyle w:val="Compact"/>
            </w:pPr>
            <w:r>
              <w:t xml:space="preserve">Immediate deployment</w:t>
            </w:r>
          </w:p>
        </w:tc>
      </w:tr>
      <w:tr>
        <w:tc>
          <w:tcPr/>
          <w:p>
            <w:pPr>
              <w:pStyle w:val="Compact"/>
            </w:pPr>
            <w:r>
              <w:t xml:space="preserve">60 – 79</w:t>
            </w:r>
          </w:p>
        </w:tc>
        <w:tc>
          <w:tcPr/>
          <w:p>
            <w:pPr>
              <w:pStyle w:val="Compact"/>
            </w:pPr>
            <w:r>
              <w:t xml:space="preserve">High</w:t>
            </w:r>
          </w:p>
        </w:tc>
        <w:tc>
          <w:tcPr/>
          <w:p>
            <w:pPr>
              <w:pStyle w:val="Compact"/>
            </w:pPr>
            <w:r>
              <w:t xml:space="preserve">Response within 24 hours</w:t>
            </w:r>
          </w:p>
        </w:tc>
      </w:tr>
      <w:tr>
        <w:tc>
          <w:tcPr/>
          <w:p>
            <w:pPr>
              <w:pStyle w:val="Compact"/>
            </w:pPr>
            <w:r>
              <w:t xml:space="preserve">40 – 59</w:t>
            </w:r>
          </w:p>
        </w:tc>
        <w:tc>
          <w:tcPr/>
          <w:p>
            <w:pPr>
              <w:pStyle w:val="Compact"/>
            </w:pPr>
            <w:r>
              <w:t xml:space="preserve">Medium</w:t>
            </w:r>
          </w:p>
        </w:tc>
        <w:tc>
          <w:tcPr/>
          <w:p>
            <w:pPr>
              <w:pStyle w:val="Compact"/>
            </w:pPr>
            <w:r>
              <w:t xml:space="preserve">Scheduled cleanup</w:t>
            </w:r>
          </w:p>
        </w:tc>
      </w:tr>
      <w:tr>
        <w:tc>
          <w:tcPr/>
          <w:p>
            <w:pPr>
              <w:pStyle w:val="Compact"/>
            </w:pPr>
            <w:r>
              <w:t xml:space="preserve">0 – 39</w:t>
            </w:r>
          </w:p>
        </w:tc>
        <w:tc>
          <w:tcPr/>
          <w:p>
            <w:pPr>
              <w:pStyle w:val="Compact"/>
            </w:pPr>
            <w:r>
              <w:t xml:space="preserve">Low</w:t>
            </w:r>
          </w:p>
        </w:tc>
        <w:tc>
          <w:tcPr/>
          <w:p>
            <w:pPr>
              <w:pStyle w:val="Compact"/>
            </w:pPr>
            <w:r>
              <w:t xml:space="preserve">Routine monitoring</w:t>
            </w:r>
          </w:p>
        </w:tc>
      </w:tr>
    </w:tbl>
    <w:p>
      <w:pPr>
        <w:pStyle w:val="BodyText"/>
      </w:pPr>
      <w:r>
        <w:t xml:space="preserve">Critical and High priority areas receive immediate attention due to elevated waste accumulation and potential environmental risks.</w:t>
      </w:r>
    </w:p>
    <w:p>
      <w:r>
        <w:pict>
          <v:rect style="width:0;height:1.5pt" o:hralign="center" o:hrstd="t" o:hr="t"/>
        </w:pict>
      </w:r>
    </w:p>
    <w:bookmarkEnd w:id="27"/>
    <w:bookmarkEnd w:id="28"/>
    <w:bookmarkStart w:id="31" w:name="rule-based-worker-allocation-strategy"/>
    <w:p>
      <w:pPr>
        <w:pStyle w:val="Heading2"/>
      </w:pPr>
      <w:r>
        <w:t xml:space="preserve">5. Rule-Based Worker Allocation Strategy</w:t>
      </w:r>
    </w:p>
    <w:p>
      <w:pPr>
        <w:pStyle w:val="FirstParagraph"/>
      </w:pPr>
      <w:r>
        <w:t xml:space="preserve">The number of sanitation workers assigned to each ward is determined according to the priority level.</w:t>
      </w:r>
    </w:p>
    <w:bookmarkStart w:id="29" w:name="table-2.-worker-allocation-rules"/>
    <w:p>
      <w:pPr>
        <w:pStyle w:val="Heading3"/>
      </w:pPr>
      <w:r>
        <w:t xml:space="preserve">Table 2. Worker Allocation Rules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Priority Level</w:t>
            </w:r>
          </w:p>
        </w:tc>
        <w:tc>
          <w:tcPr/>
          <w:p>
            <w:pPr>
              <w:pStyle w:val="Compact"/>
            </w:pPr>
            <w:r>
              <w:t xml:space="preserve">Workers Assigned</w:t>
            </w:r>
          </w:p>
        </w:tc>
      </w:tr>
      <w:tr>
        <w:tc>
          <w:tcPr/>
          <w:p>
            <w:pPr>
              <w:pStyle w:val="Compact"/>
            </w:pPr>
            <w:r>
              <w:t xml:space="preserve">Critical</w:t>
            </w:r>
          </w:p>
        </w:tc>
        <w:tc>
          <w:tcPr/>
          <w:p>
            <w:pPr>
              <w:pStyle w:val="Compact"/>
            </w:pPr>
            <w:r>
              <w:t xml:space="preserve">6</w:t>
            </w:r>
          </w:p>
        </w:tc>
      </w:tr>
      <w:tr>
        <w:tc>
          <w:tcPr/>
          <w:p>
            <w:pPr>
              <w:pStyle w:val="Compact"/>
            </w:pPr>
            <w:r>
              <w:t xml:space="preserve">High</w:t>
            </w:r>
          </w:p>
        </w:tc>
        <w:tc>
          <w:tcPr/>
          <w:p>
            <w:pPr>
              <w:pStyle w:val="Compact"/>
            </w:pPr>
            <w:r>
              <w:t xml:space="preserve">4</w:t>
            </w:r>
          </w:p>
        </w:tc>
      </w:tr>
      <w:tr>
        <w:tc>
          <w:tcPr/>
          <w:p>
            <w:pPr>
              <w:pStyle w:val="Compact"/>
            </w:pPr>
            <w:r>
              <w:t xml:space="preserve">Medium</w:t>
            </w:r>
          </w:p>
        </w:tc>
        <w:tc>
          <w:tcPr/>
          <w:p>
            <w:pPr>
              <w:pStyle w:val="Compact"/>
            </w:pPr>
            <w:r>
              <w:t xml:space="preserve">2</w:t>
            </w:r>
          </w:p>
        </w:tc>
      </w:tr>
      <w:tr>
        <w:tc>
          <w:tcPr/>
          <w:p>
            <w:pPr>
              <w:pStyle w:val="Compact"/>
            </w:pPr>
            <w:r>
              <w:t xml:space="preserve">Low</w:t>
            </w:r>
          </w:p>
        </w:tc>
        <w:tc>
          <w:tcPr/>
          <w:p>
            <w:pPr>
              <w:pStyle w:val="Compact"/>
            </w:pPr>
            <w:r>
              <w:t xml:space="preserve">1</w:t>
            </w:r>
          </w:p>
        </w:tc>
      </w:tr>
    </w:tbl>
    <w:bookmarkEnd w:id="29"/>
    <w:bookmarkStart w:id="30" w:name="justification"/>
    <w:p>
      <w:pPr>
        <w:pStyle w:val="Heading3"/>
      </w:pPr>
      <w:r>
        <w:t xml:space="preserve">Justification</w:t>
      </w:r>
    </w:p>
    <w:p>
      <w:pPr>
        <w:pStyle w:val="FirstParagraph"/>
      </w:pPr>
      <w:r>
        <w:t xml:space="preserve">The worker allocation strategy is based on the following assumptions:</w:t>
      </w:r>
    </w:p>
    <w:p>
      <w:pPr>
        <w:pStyle w:val="BodyText"/>
      </w:pPr>
      <w:r>
        <w:t xml:space="preserve">• Critical hotspots contain large waste volumes requiring rapid removal.</w:t>
      </w:r>
    </w:p>
    <w:p>
      <w:pPr>
        <w:pStyle w:val="BodyText"/>
      </w:pPr>
      <w:r>
        <w:t xml:space="preserve">• High-priority zones require intensive cleanup operations.</w:t>
      </w:r>
    </w:p>
    <w:p>
      <w:pPr>
        <w:pStyle w:val="BodyText"/>
      </w:pPr>
      <w:r>
        <w:t xml:space="preserve">• Medium-priority areas require regular waste collection activities.</w:t>
      </w:r>
    </w:p>
    <w:p>
      <w:pPr>
        <w:pStyle w:val="BodyText"/>
      </w:pPr>
      <w:r>
        <w:t xml:space="preserve">• Low-priority areas can be managed through routine municipal monitoring.</w:t>
      </w:r>
    </w:p>
    <w:p>
      <w:pPr>
        <w:pStyle w:val="BodyText"/>
      </w:pPr>
      <w:r>
        <w:t xml:space="preserve">This strategy provides an interpretable and operationally feasible deployment mechanism for municipal authorities.</w:t>
      </w:r>
    </w:p>
    <w:p>
      <w:r>
        <w:pict>
          <v:rect style="width:0;height:1.5pt" o:hralign="center" o:hrstd="t" o:hr="t"/>
        </w:pict>
      </w:r>
    </w:p>
    <w:bookmarkEnd w:id="30"/>
    <w:bookmarkEnd w:id="31"/>
    <w:bookmarkStart w:id="34" w:name="rule-based-vehicle-allocation-strategy"/>
    <w:p>
      <w:pPr>
        <w:pStyle w:val="Heading2"/>
      </w:pPr>
      <w:r>
        <w:t xml:space="preserve">6. Rule-Based Vehicle Allocation Strategy</w:t>
      </w:r>
    </w:p>
    <w:p>
      <w:pPr>
        <w:pStyle w:val="FirstParagraph"/>
      </w:pPr>
      <w:r>
        <w:t xml:space="preserve">Waste collection vehicles are allocated according to waste volume and priority level.</w:t>
      </w:r>
    </w:p>
    <w:bookmarkStart w:id="32" w:name="table-3.-vehicle-allocation-rules"/>
    <w:p>
      <w:pPr>
        <w:pStyle w:val="Heading3"/>
      </w:pPr>
      <w:r>
        <w:t xml:space="preserve">Table 3. Vehicle Allocation Rules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Priority Level</w:t>
            </w:r>
          </w:p>
        </w:tc>
        <w:tc>
          <w:tcPr/>
          <w:p>
            <w:pPr>
              <w:pStyle w:val="Compact"/>
            </w:pPr>
            <w:r>
              <w:t xml:space="preserve">Vehicles Assigned</w:t>
            </w:r>
          </w:p>
        </w:tc>
      </w:tr>
      <w:tr>
        <w:tc>
          <w:tcPr/>
          <w:p>
            <w:pPr>
              <w:pStyle w:val="Compact"/>
            </w:pPr>
            <w:r>
              <w:t xml:space="preserve">Critical</w:t>
            </w:r>
          </w:p>
        </w:tc>
        <w:tc>
          <w:tcPr/>
          <w:p>
            <w:pPr>
              <w:pStyle w:val="Compact"/>
            </w:pPr>
            <w:r>
              <w:t xml:space="preserve">3</w:t>
            </w:r>
          </w:p>
        </w:tc>
      </w:tr>
      <w:tr>
        <w:tc>
          <w:tcPr/>
          <w:p>
            <w:pPr>
              <w:pStyle w:val="Compact"/>
            </w:pPr>
            <w:r>
              <w:t xml:space="preserve">High</w:t>
            </w:r>
          </w:p>
        </w:tc>
        <w:tc>
          <w:tcPr/>
          <w:p>
            <w:pPr>
              <w:pStyle w:val="Compact"/>
            </w:pPr>
            <w:r>
              <w:t xml:space="preserve">2</w:t>
            </w:r>
          </w:p>
        </w:tc>
      </w:tr>
      <w:tr>
        <w:tc>
          <w:tcPr/>
          <w:p>
            <w:pPr>
              <w:pStyle w:val="Compact"/>
            </w:pPr>
            <w:r>
              <w:t xml:space="preserve">Medium</w:t>
            </w:r>
          </w:p>
        </w:tc>
        <w:tc>
          <w:tcPr/>
          <w:p>
            <w:pPr>
              <w:pStyle w:val="Compact"/>
            </w:pPr>
            <w:r>
              <w:t xml:space="preserve">1</w:t>
            </w:r>
          </w:p>
        </w:tc>
      </w:tr>
      <w:tr>
        <w:tc>
          <w:tcPr/>
          <w:p>
            <w:pPr>
              <w:pStyle w:val="Compact"/>
            </w:pPr>
            <w:r>
              <w:t xml:space="preserve">Low</w:t>
            </w:r>
          </w:p>
        </w:tc>
        <w:tc>
          <w:tcPr/>
          <w:p>
            <w:pPr>
              <w:pStyle w:val="Compact"/>
            </w:pPr>
            <w:r>
              <w:t xml:space="preserve">Shared Vehicle</w:t>
            </w:r>
          </w:p>
        </w:tc>
      </w:tr>
    </w:tbl>
    <w:bookmarkEnd w:id="32"/>
    <w:bookmarkStart w:id="33" w:name="justification-1"/>
    <w:p>
      <w:pPr>
        <w:pStyle w:val="Heading3"/>
      </w:pPr>
      <w:r>
        <w:t xml:space="preserve">Justification</w:t>
      </w:r>
    </w:p>
    <w:p>
      <w:pPr>
        <w:pStyle w:val="FirstParagraph"/>
      </w:pPr>
      <w:r>
        <w:t xml:space="preserve">Vehicle allocation depends on:</w:t>
      </w:r>
    </w:p>
    <w:p>
      <w:pPr>
        <w:pStyle w:val="BodyText"/>
      </w:pPr>
      <w:r>
        <w:t xml:space="preserve">• Estimated waste volume</w:t>
      </w:r>
    </w:p>
    <w:p>
      <w:pPr>
        <w:pStyle w:val="BodyText"/>
      </w:pPr>
      <w:r>
        <w:t xml:space="preserve">• Collection frequency requirements</w:t>
      </w:r>
    </w:p>
    <w:p>
      <w:pPr>
        <w:pStyle w:val="BodyText"/>
      </w:pPr>
      <w:r>
        <w:t xml:space="preserve">• Distance to disposal facilities</w:t>
      </w:r>
    </w:p>
    <w:p>
      <w:pPr>
        <w:pStyle w:val="BodyText"/>
      </w:pPr>
      <w:r>
        <w:t xml:space="preserve">• Operational urgency</w:t>
      </w:r>
    </w:p>
    <w:p>
      <w:pPr>
        <w:pStyle w:val="BodyText"/>
      </w:pPr>
      <w:r>
        <w:t xml:space="preserve">Critical zones require multiple collection vehicles to reduce waste accumulation rapidly, while low-priority zones can share municipal collection resources.</w:t>
      </w:r>
    </w:p>
    <w:p>
      <w:r>
        <w:pict>
          <v:rect style="width:0;height:1.5pt" o:hralign="center" o:hrstd="t" o:hr="t"/>
        </w:pict>
      </w:r>
    </w:p>
    <w:bookmarkEnd w:id="33"/>
    <w:bookmarkEnd w:id="34"/>
    <w:bookmarkStart w:id="36" w:name="resource-allocation-example"/>
    <w:p>
      <w:pPr>
        <w:pStyle w:val="Heading2"/>
      </w:pPr>
      <w:r>
        <w:t xml:space="preserve">7. Resource Allocation Example</w:t>
      </w:r>
    </w:p>
    <w:p>
      <w:pPr>
        <w:pStyle w:val="FirstParagraph"/>
      </w:pPr>
      <w:r>
        <w:t xml:space="preserve">The following example demonstrates resource allocation for the simulated municipal case study.</w:t>
      </w:r>
    </w:p>
    <w:bookmarkStart w:id="35" w:name="X42a67aceb3334e1c861930160100e99abd1f659"/>
    <w:p>
      <w:pPr>
        <w:pStyle w:val="Heading3"/>
      </w:pPr>
      <w:r>
        <w:t xml:space="preserve">Table 4. Ward-Level Resource Allocation Results</w:t>
      </w:r>
    </w:p>
    <w:tbl>
      <w:tblPr>
        <w:tblStyle w:val="Table"/>
        <w:tblW w:type="pct" w:w="5000"/>
        <w:tblLayout w:type="fixed"/>
        <w:tblLook w:firstRow="1" w:lastRow="0" w:firstColumn="0" w:lastColumn="0" w:noHBand="0" w:noVBand="0" w:val="0020"/>
      </w:tblPr>
      <w:tblGrid>
        <w:gridCol w:w="617"/>
        <w:gridCol w:w="617"/>
        <w:gridCol w:w="1542"/>
        <w:gridCol w:w="1542"/>
        <w:gridCol w:w="1748"/>
        <w:gridCol w:w="1851"/>
      </w:tblGrid>
      <w:tr>
        <w:trPr>
          <w:tblHeader w:val="on"/>
        </w:trPr>
        <w:tc>
          <w:tcPr/>
          <w:p>
            <w:pPr>
              <w:pStyle w:val="Compact"/>
            </w:pPr>
            <w:r>
              <w:t xml:space="preserve">Ward</w:t>
            </w:r>
          </w:p>
        </w:tc>
        <w:tc>
          <w:tcPr/>
          <w:p>
            <w:pPr>
              <w:pStyle w:val="Compact"/>
            </w:pPr>
            <w:r>
              <w:t xml:space="preserve">SWSI</w:t>
            </w:r>
          </w:p>
        </w:tc>
        <w:tc>
          <w:tcPr/>
          <w:p>
            <w:pPr>
              <w:pStyle w:val="Compact"/>
            </w:pPr>
            <w:r>
              <w:t xml:space="preserve">Hotspot Status</w:t>
            </w:r>
          </w:p>
        </w:tc>
        <w:tc>
          <w:tcPr/>
          <w:p>
            <w:pPr>
              <w:pStyle w:val="Compact"/>
            </w:pPr>
            <w:r>
              <w:t xml:space="preserve">Priority Level</w:t>
            </w:r>
          </w:p>
        </w:tc>
        <w:tc>
          <w:tcPr/>
          <w:p>
            <w:pPr>
              <w:pStyle w:val="Compact"/>
            </w:pPr>
            <w:r>
              <w:t xml:space="preserve">Workers Assigned</w:t>
            </w:r>
          </w:p>
        </w:tc>
        <w:tc>
          <w:tcPr/>
          <w:p>
            <w:pPr>
              <w:pStyle w:val="Compact"/>
            </w:pPr>
            <w:r>
              <w:t xml:space="preserve">Vehicles Assigned</w:t>
            </w:r>
          </w:p>
        </w:tc>
      </w:tr>
      <w:tr>
        <w:tc>
          <w:tcPr/>
          <w:p>
            <w:pPr>
              <w:pStyle w:val="Compact"/>
            </w:pPr>
            <w:r>
              <w:t xml:space="preserve">Ward A</w:t>
            </w:r>
          </w:p>
        </w:tc>
        <w:tc>
          <w:tcPr/>
          <w:p>
            <w:pPr>
              <w:pStyle w:val="Compact"/>
            </w:pPr>
            <w:r>
              <w:t xml:space="preserve">89</w:t>
            </w:r>
          </w:p>
        </w:tc>
        <w:tc>
          <w:tcPr/>
          <w:p>
            <w:pPr>
              <w:pStyle w:val="Compact"/>
            </w:pPr>
            <w:r>
              <w:t xml:space="preserve">Yes</w:t>
            </w:r>
          </w:p>
        </w:tc>
        <w:tc>
          <w:tcPr/>
          <w:p>
            <w:pPr>
              <w:pStyle w:val="Compact"/>
            </w:pPr>
            <w:r>
              <w:t xml:space="preserve">Critical</w:t>
            </w:r>
          </w:p>
        </w:tc>
        <w:tc>
          <w:tcPr/>
          <w:p>
            <w:pPr>
              <w:pStyle w:val="Compact"/>
            </w:pPr>
            <w:r>
              <w:t xml:space="preserve">6</w:t>
            </w:r>
          </w:p>
        </w:tc>
        <w:tc>
          <w:tcPr/>
          <w:p>
            <w:pPr>
              <w:pStyle w:val="Compact"/>
            </w:pPr>
            <w:r>
              <w:t xml:space="preserve">3</w:t>
            </w:r>
          </w:p>
        </w:tc>
      </w:tr>
      <w:tr>
        <w:tc>
          <w:tcPr/>
          <w:p>
            <w:pPr>
              <w:pStyle w:val="Compact"/>
            </w:pPr>
            <w:r>
              <w:t xml:space="preserve">Ward B</w:t>
            </w:r>
          </w:p>
        </w:tc>
        <w:tc>
          <w:tcPr/>
          <w:p>
            <w:pPr>
              <w:pStyle w:val="Compact"/>
            </w:pPr>
            <w:r>
              <w:t xml:space="preserve">83</w:t>
            </w:r>
          </w:p>
        </w:tc>
        <w:tc>
          <w:tcPr/>
          <w:p>
            <w:pPr>
              <w:pStyle w:val="Compact"/>
            </w:pPr>
            <w:r>
              <w:t xml:space="preserve">Yes</w:t>
            </w:r>
          </w:p>
        </w:tc>
        <w:tc>
          <w:tcPr/>
          <w:p>
            <w:pPr>
              <w:pStyle w:val="Compact"/>
            </w:pPr>
            <w:r>
              <w:t xml:space="preserve">Critical</w:t>
            </w:r>
          </w:p>
        </w:tc>
        <w:tc>
          <w:tcPr/>
          <w:p>
            <w:pPr>
              <w:pStyle w:val="Compact"/>
            </w:pPr>
            <w:r>
              <w:t xml:space="preserve">6</w:t>
            </w:r>
          </w:p>
        </w:tc>
        <w:tc>
          <w:tcPr/>
          <w:p>
            <w:pPr>
              <w:pStyle w:val="Compact"/>
            </w:pPr>
            <w:r>
              <w:t xml:space="preserve">3</w:t>
            </w:r>
          </w:p>
        </w:tc>
      </w:tr>
      <w:tr>
        <w:tc>
          <w:tcPr/>
          <w:p>
            <w:pPr>
              <w:pStyle w:val="Compact"/>
            </w:pPr>
            <w:r>
              <w:t xml:space="preserve">Ward C</w:t>
            </w:r>
          </w:p>
        </w:tc>
        <w:tc>
          <w:tcPr/>
          <w:p>
            <w:pPr>
              <w:pStyle w:val="Compact"/>
            </w:pPr>
            <w:r>
              <w:t xml:space="preserve">74</w:t>
            </w:r>
          </w:p>
        </w:tc>
        <w:tc>
          <w:tcPr/>
          <w:p>
            <w:pPr>
              <w:pStyle w:val="Compact"/>
            </w:pPr>
            <w:r>
              <w:t xml:space="preserve">Yes</w:t>
            </w:r>
          </w:p>
        </w:tc>
        <w:tc>
          <w:tcPr/>
          <w:p>
            <w:pPr>
              <w:pStyle w:val="Compact"/>
            </w:pPr>
            <w:r>
              <w:t xml:space="preserve">High</w:t>
            </w:r>
          </w:p>
        </w:tc>
        <w:tc>
          <w:tcPr/>
          <w:p>
            <w:pPr>
              <w:pStyle w:val="Compact"/>
            </w:pPr>
            <w:r>
              <w:t xml:space="preserve">4</w:t>
            </w:r>
          </w:p>
        </w:tc>
        <w:tc>
          <w:tcPr/>
          <w:p>
            <w:pPr>
              <w:pStyle w:val="Compact"/>
            </w:pPr>
            <w:r>
              <w:t xml:space="preserve">2</w:t>
            </w:r>
          </w:p>
        </w:tc>
      </w:tr>
      <w:tr>
        <w:tc>
          <w:tcPr/>
          <w:p>
            <w:pPr>
              <w:pStyle w:val="Compact"/>
            </w:pPr>
            <w:r>
              <w:t xml:space="preserve">Ward D</w:t>
            </w:r>
          </w:p>
        </w:tc>
        <w:tc>
          <w:tcPr/>
          <w:p>
            <w:pPr>
              <w:pStyle w:val="Compact"/>
            </w:pPr>
            <w:r>
              <w:t xml:space="preserve">68</w:t>
            </w:r>
          </w:p>
        </w:tc>
        <w:tc>
          <w:tcPr/>
          <w:p>
            <w:pPr>
              <w:pStyle w:val="Compact"/>
            </w:pPr>
            <w:r>
              <w:t xml:space="preserve">Yes</w:t>
            </w:r>
          </w:p>
        </w:tc>
        <w:tc>
          <w:tcPr/>
          <w:p>
            <w:pPr>
              <w:pStyle w:val="Compact"/>
            </w:pPr>
            <w:r>
              <w:t xml:space="preserve">High</w:t>
            </w:r>
          </w:p>
        </w:tc>
        <w:tc>
          <w:tcPr/>
          <w:p>
            <w:pPr>
              <w:pStyle w:val="Compact"/>
            </w:pPr>
            <w:r>
              <w:t xml:space="preserve">4</w:t>
            </w:r>
          </w:p>
        </w:tc>
        <w:tc>
          <w:tcPr/>
          <w:p>
            <w:pPr>
              <w:pStyle w:val="Compact"/>
            </w:pPr>
            <w:r>
              <w:t xml:space="preserve">2</w:t>
            </w:r>
          </w:p>
        </w:tc>
      </w:tr>
      <w:tr>
        <w:tc>
          <w:tcPr/>
          <w:p>
            <w:pPr>
              <w:pStyle w:val="Compact"/>
            </w:pPr>
            <w:r>
              <w:t xml:space="preserve">Ward E</w:t>
            </w:r>
          </w:p>
        </w:tc>
        <w:tc>
          <w:tcPr/>
          <w:p>
            <w:pPr>
              <w:pStyle w:val="Compact"/>
            </w:pPr>
            <w:r>
              <w:t xml:space="preserve">56</w:t>
            </w:r>
          </w:p>
        </w:tc>
        <w:tc>
          <w:tcPr/>
          <w:p>
            <w:pPr>
              <w:pStyle w:val="Compact"/>
            </w:pPr>
            <w:r>
              <w:t xml:space="preserve">No</w:t>
            </w:r>
          </w:p>
        </w:tc>
        <w:tc>
          <w:tcPr/>
          <w:p>
            <w:pPr>
              <w:pStyle w:val="Compact"/>
            </w:pPr>
            <w:r>
              <w:t xml:space="preserve">Medium</w:t>
            </w:r>
          </w:p>
        </w:tc>
        <w:tc>
          <w:tcPr/>
          <w:p>
            <w:pPr>
              <w:pStyle w:val="Compact"/>
            </w:pPr>
            <w:r>
              <w:t xml:space="preserve">2</w:t>
            </w:r>
          </w:p>
        </w:tc>
        <w:tc>
          <w:tcPr/>
          <w:p>
            <w:pPr>
              <w:pStyle w:val="Compact"/>
            </w:pPr>
            <w:r>
              <w:t xml:space="preserve">1</w:t>
            </w:r>
          </w:p>
        </w:tc>
      </w:tr>
      <w:tr>
        <w:tc>
          <w:tcPr/>
          <w:p>
            <w:pPr>
              <w:pStyle w:val="Compact"/>
            </w:pPr>
            <w:r>
              <w:t xml:space="preserve">Ward F</w:t>
            </w:r>
          </w:p>
        </w:tc>
        <w:tc>
          <w:tcPr/>
          <w:p>
            <w:pPr>
              <w:pStyle w:val="Compact"/>
            </w:pPr>
            <w:r>
              <w:t xml:space="preserve">48</w:t>
            </w:r>
          </w:p>
        </w:tc>
        <w:tc>
          <w:tcPr/>
          <w:p>
            <w:pPr>
              <w:pStyle w:val="Compact"/>
            </w:pPr>
            <w:r>
              <w:t xml:space="preserve">No</w:t>
            </w:r>
          </w:p>
        </w:tc>
        <w:tc>
          <w:tcPr/>
          <w:p>
            <w:pPr>
              <w:pStyle w:val="Compact"/>
            </w:pPr>
            <w:r>
              <w:t xml:space="preserve">Medium</w:t>
            </w:r>
          </w:p>
        </w:tc>
        <w:tc>
          <w:tcPr/>
          <w:p>
            <w:pPr>
              <w:pStyle w:val="Compact"/>
            </w:pPr>
            <w:r>
              <w:t xml:space="preserve">2</w:t>
            </w:r>
          </w:p>
        </w:tc>
        <w:tc>
          <w:tcPr/>
          <w:p>
            <w:pPr>
              <w:pStyle w:val="Compact"/>
            </w:pPr>
            <w:r>
              <w:t xml:space="preserve">1</w:t>
            </w:r>
          </w:p>
        </w:tc>
      </w:tr>
      <w:tr>
        <w:tc>
          <w:tcPr/>
          <w:p>
            <w:pPr>
              <w:pStyle w:val="Compact"/>
            </w:pPr>
            <w:r>
              <w:t xml:space="preserve">Ward G</w:t>
            </w:r>
          </w:p>
        </w:tc>
        <w:tc>
          <w:tcPr/>
          <w:p>
            <w:pPr>
              <w:pStyle w:val="Compact"/>
            </w:pPr>
            <w:r>
              <w:t xml:space="preserve">42</w:t>
            </w:r>
          </w:p>
        </w:tc>
        <w:tc>
          <w:tcPr/>
          <w:p>
            <w:pPr>
              <w:pStyle w:val="Compact"/>
            </w:pPr>
            <w:r>
              <w:t xml:space="preserve">No</w:t>
            </w:r>
          </w:p>
        </w:tc>
        <w:tc>
          <w:tcPr/>
          <w:p>
            <w:pPr>
              <w:pStyle w:val="Compact"/>
            </w:pPr>
            <w:r>
              <w:t xml:space="preserve">Medium</w:t>
            </w:r>
          </w:p>
        </w:tc>
        <w:tc>
          <w:tcPr/>
          <w:p>
            <w:pPr>
              <w:pStyle w:val="Compact"/>
            </w:pPr>
            <w:r>
              <w:t xml:space="preserve">2</w:t>
            </w:r>
          </w:p>
        </w:tc>
        <w:tc>
          <w:tcPr/>
          <w:p>
            <w:pPr>
              <w:pStyle w:val="Compact"/>
            </w:pPr>
            <w:r>
              <w:t xml:space="preserve">1</w:t>
            </w:r>
          </w:p>
        </w:tc>
      </w:tr>
      <w:tr>
        <w:tc>
          <w:tcPr/>
          <w:p>
            <w:pPr>
              <w:pStyle w:val="Compact"/>
            </w:pPr>
            <w:r>
              <w:t xml:space="preserve">Ward H</w:t>
            </w:r>
          </w:p>
        </w:tc>
        <w:tc>
          <w:tcPr/>
          <w:p>
            <w:pPr>
              <w:pStyle w:val="Compact"/>
            </w:pPr>
            <w:r>
              <w:t xml:space="preserve">31</w:t>
            </w:r>
          </w:p>
        </w:tc>
        <w:tc>
          <w:tcPr/>
          <w:p>
            <w:pPr>
              <w:pStyle w:val="Compact"/>
            </w:pPr>
            <w:r>
              <w:t xml:space="preserve">No</w:t>
            </w:r>
          </w:p>
        </w:tc>
        <w:tc>
          <w:tcPr/>
          <w:p>
            <w:pPr>
              <w:pStyle w:val="Compact"/>
            </w:pPr>
            <w:r>
              <w:t xml:space="preserve">Low</w:t>
            </w:r>
          </w:p>
        </w:tc>
        <w:tc>
          <w:tcPr/>
          <w:p>
            <w:pPr>
              <w:pStyle w:val="Compact"/>
            </w:pPr>
            <w:r>
              <w:t xml:space="preserve">1</w:t>
            </w:r>
          </w:p>
        </w:tc>
        <w:tc>
          <w:tcPr/>
          <w:p>
            <w:pPr>
              <w:pStyle w:val="Compact"/>
            </w:pPr>
            <w:r>
              <w:t xml:space="preserve">Shared</w:t>
            </w:r>
          </w:p>
        </w:tc>
      </w:tr>
      <w:tr>
        <w:tc>
          <w:tcPr/>
          <w:p>
            <w:pPr>
              <w:pStyle w:val="Compact"/>
            </w:pPr>
            <w:r>
              <w:t xml:space="preserve">Ward I</w:t>
            </w:r>
          </w:p>
        </w:tc>
        <w:tc>
          <w:tcPr/>
          <w:p>
            <w:pPr>
              <w:pStyle w:val="Compact"/>
            </w:pPr>
            <w:r>
              <w:t xml:space="preserve">24</w:t>
            </w:r>
          </w:p>
        </w:tc>
        <w:tc>
          <w:tcPr/>
          <w:p>
            <w:pPr>
              <w:pStyle w:val="Compact"/>
            </w:pPr>
            <w:r>
              <w:t xml:space="preserve">No</w:t>
            </w:r>
          </w:p>
        </w:tc>
        <w:tc>
          <w:tcPr/>
          <w:p>
            <w:pPr>
              <w:pStyle w:val="Compact"/>
            </w:pPr>
            <w:r>
              <w:t xml:space="preserve">Low</w:t>
            </w:r>
          </w:p>
        </w:tc>
        <w:tc>
          <w:tcPr/>
          <w:p>
            <w:pPr>
              <w:pStyle w:val="Compact"/>
            </w:pPr>
            <w:r>
              <w:t xml:space="preserve">1</w:t>
            </w:r>
          </w:p>
        </w:tc>
        <w:tc>
          <w:tcPr/>
          <w:p>
            <w:pPr>
              <w:pStyle w:val="Compact"/>
            </w:pPr>
            <w:r>
              <w:t xml:space="preserve">Shared</w:t>
            </w:r>
          </w:p>
        </w:tc>
      </w:tr>
      <w:tr>
        <w:tc>
          <w:tcPr/>
          <w:p>
            <w:pPr>
              <w:pStyle w:val="Compact"/>
            </w:pPr>
            <w:r>
              <w:t xml:space="preserve">Ward J</w:t>
            </w:r>
          </w:p>
        </w:tc>
        <w:tc>
          <w:tcPr/>
          <w:p>
            <w:pPr>
              <w:pStyle w:val="Compact"/>
            </w:pPr>
            <w:r>
              <w:t xml:space="preserve">17</w:t>
            </w:r>
          </w:p>
        </w:tc>
        <w:tc>
          <w:tcPr/>
          <w:p>
            <w:pPr>
              <w:pStyle w:val="Compact"/>
            </w:pPr>
            <w:r>
              <w:t xml:space="preserve">No</w:t>
            </w:r>
          </w:p>
        </w:tc>
        <w:tc>
          <w:tcPr/>
          <w:p>
            <w:pPr>
              <w:pStyle w:val="Compact"/>
            </w:pPr>
            <w:r>
              <w:t xml:space="preserve">Low</w:t>
            </w:r>
          </w:p>
        </w:tc>
        <w:tc>
          <w:tcPr/>
          <w:p>
            <w:pPr>
              <w:pStyle w:val="Compact"/>
            </w:pPr>
            <w:r>
              <w:t xml:space="preserve">1</w:t>
            </w:r>
          </w:p>
        </w:tc>
        <w:tc>
          <w:tcPr/>
          <w:p>
            <w:pPr>
              <w:pStyle w:val="Compact"/>
            </w:pPr>
            <w:r>
              <w:t xml:space="preserve">Shared</w:t>
            </w:r>
          </w:p>
        </w:tc>
      </w:tr>
    </w:tbl>
    <w:p>
      <w:pPr>
        <w:pStyle w:val="BodyText"/>
      </w:pPr>
      <w:r>
        <w:t xml:space="preserve">The allocation recommendations are automatically generated and displayed on the municipal decision-support dashboard.</w:t>
      </w:r>
    </w:p>
    <w:p>
      <w:r>
        <w:pict>
          <v:rect style="width:0;height:1.5pt" o:hralign="center" o:hrstd="t" o:hr="t"/>
        </w:pict>
      </w:r>
    </w:p>
    <w:bookmarkEnd w:id="35"/>
    <w:bookmarkEnd w:id="36"/>
    <w:bookmarkStart w:id="37" w:name="municipal-decision-workflow"/>
    <w:p>
      <w:pPr>
        <w:pStyle w:val="Heading2"/>
      </w:pPr>
      <w:r>
        <w:t xml:space="preserve">8. Municipal Decision Workflow</w:t>
      </w:r>
    </w:p>
    <w:p>
      <w:pPr>
        <w:pStyle w:val="FirstParagraph"/>
      </w:pPr>
      <w:r>
        <w:t xml:space="preserve">The resource allocation mechanism operates through the following workflow:</w:t>
      </w:r>
    </w:p>
    <w:p>
      <w:pPr>
        <w:pStyle w:val="BodyText"/>
      </w:pPr>
      <w:r>
        <w:t xml:space="preserve">YOLOv8 Waste Detection</w:t>
      </w:r>
    </w:p>
    <w:p>
      <w:pPr>
        <w:pStyle w:val="BodyText"/>
      </w:pPr>
      <w:r>
        <w:t xml:space="preserve">↓</w:t>
      </w:r>
    </w:p>
    <w:p>
      <w:pPr>
        <w:pStyle w:val="BodyText"/>
      </w:pPr>
      <w:r>
        <w:t xml:space="preserve">Smart Waste Severity Index Calculation</w:t>
      </w:r>
    </w:p>
    <w:p>
      <w:pPr>
        <w:pStyle w:val="BodyText"/>
      </w:pPr>
      <w:r>
        <w:t xml:space="preserve">↓</w:t>
      </w:r>
    </w:p>
    <w:p>
      <w:pPr>
        <w:pStyle w:val="BodyText"/>
      </w:pPr>
      <w:r>
        <w:t xml:space="preserve">DBSCAN Hotspot Detection</w:t>
      </w:r>
    </w:p>
    <w:p>
      <w:pPr>
        <w:pStyle w:val="BodyText"/>
      </w:pPr>
      <w:r>
        <w:t xml:space="preserve">↓</w:t>
      </w:r>
    </w:p>
    <w:p>
      <w:pPr>
        <w:pStyle w:val="BodyText"/>
      </w:pPr>
      <w:r>
        <w:t xml:space="preserve">Priority Score Computation</w:t>
      </w:r>
    </w:p>
    <w:p>
      <w:pPr>
        <w:pStyle w:val="BodyText"/>
      </w:pPr>
      <w:r>
        <w:t xml:space="preserve">↓</w:t>
      </w:r>
    </w:p>
    <w:p>
      <w:pPr>
        <w:pStyle w:val="BodyText"/>
      </w:pPr>
      <w:r>
        <w:t xml:space="preserve">Worker Allocation</w:t>
      </w:r>
    </w:p>
    <w:p>
      <w:pPr>
        <w:pStyle w:val="BodyText"/>
      </w:pPr>
      <w:r>
        <w:t xml:space="preserve">↓</w:t>
      </w:r>
    </w:p>
    <w:p>
      <w:pPr>
        <w:pStyle w:val="BodyText"/>
      </w:pPr>
      <w:r>
        <w:t xml:space="preserve">Vehicle Allocation</w:t>
      </w:r>
    </w:p>
    <w:p>
      <w:pPr>
        <w:pStyle w:val="BodyText"/>
      </w:pPr>
      <w:r>
        <w:t xml:space="preserve">↓</w:t>
      </w:r>
    </w:p>
    <w:p>
      <w:pPr>
        <w:pStyle w:val="BodyText"/>
      </w:pPr>
      <w:r>
        <w:t xml:space="preserve">Municipal Dashboard Recommendation</w:t>
      </w:r>
    </w:p>
    <w:p>
      <w:pPr>
        <w:pStyle w:val="BodyText"/>
      </w:pPr>
      <w:r>
        <w:t xml:space="preserve">The workflow transforms raw waste detections into actionable municipal operations.</w:t>
      </w:r>
    </w:p>
    <w:p>
      <w:r>
        <w:pict>
          <v:rect style="width:0;height:1.5pt" o:hralign="center" o:hrstd="t" o:hr="t"/>
        </w:pict>
      </w:r>
    </w:p>
    <w:bookmarkEnd w:id="37"/>
    <w:bookmarkStart w:id="40" w:name="dashboard-level-recommendations"/>
    <w:p>
      <w:pPr>
        <w:pStyle w:val="Heading2"/>
      </w:pPr>
      <w:r>
        <w:t xml:space="preserve">9. Dashboard-Level Recommendations</w:t>
      </w:r>
    </w:p>
    <w:p>
      <w:pPr>
        <w:pStyle w:val="FirstParagraph"/>
      </w:pPr>
      <w:r>
        <w:t xml:space="preserve">The decision-support dashboard provides:</w:t>
      </w:r>
    </w:p>
    <w:bookmarkStart w:id="38" w:name="operational-recommendations"/>
    <w:p>
      <w:pPr>
        <w:pStyle w:val="Heading3"/>
      </w:pPr>
      <w:r>
        <w:t xml:space="preserve">Operational Recommendations</w:t>
      </w:r>
    </w:p>
    <w:p>
      <w:pPr>
        <w:pStyle w:val="FirstParagraph"/>
      </w:pPr>
      <w:r>
        <w:t xml:space="preserve">• Number of workers required</w:t>
      </w:r>
    </w:p>
    <w:p>
      <w:pPr>
        <w:pStyle w:val="BodyText"/>
      </w:pPr>
      <w:r>
        <w:t xml:space="preserve">• Number of vehicles required</w:t>
      </w:r>
    </w:p>
    <w:p>
      <w:pPr>
        <w:pStyle w:val="BodyText"/>
      </w:pPr>
      <w:r>
        <w:t xml:space="preserve">• Recommended response time</w:t>
      </w:r>
    </w:p>
    <w:p>
      <w:pPr>
        <w:pStyle w:val="BodyText"/>
      </w:pPr>
      <w:r>
        <w:t xml:space="preserve">• Priority ranking of wards</w:t>
      </w:r>
    </w:p>
    <w:bookmarkEnd w:id="38"/>
    <w:bookmarkStart w:id="39" w:name="strategic-recommendations"/>
    <w:p>
      <w:pPr>
        <w:pStyle w:val="Heading3"/>
      </w:pPr>
      <w:r>
        <w:t xml:space="preserve">Strategic Recommendations</w:t>
      </w:r>
    </w:p>
    <w:p>
      <w:pPr>
        <w:pStyle w:val="FirstParagraph"/>
      </w:pPr>
      <w:r>
        <w:t xml:space="preserve">• Critical hotspot alerts</w:t>
      </w:r>
    </w:p>
    <w:p>
      <w:pPr>
        <w:pStyle w:val="BodyText"/>
      </w:pPr>
      <w:r>
        <w:t xml:space="preserve">• Resource shortage warnings</w:t>
      </w:r>
    </w:p>
    <w:p>
      <w:pPr>
        <w:pStyle w:val="BodyText"/>
      </w:pPr>
      <w:r>
        <w:t xml:space="preserve">• Cleanup scheduling suggestions</w:t>
      </w:r>
    </w:p>
    <w:p>
      <w:pPr>
        <w:pStyle w:val="BodyText"/>
      </w:pPr>
      <w:r>
        <w:t xml:space="preserve">• Ward-level sanitation performance monitoring</w:t>
      </w:r>
    </w:p>
    <w:p>
      <w:pPr>
        <w:pStyle w:val="BodyText"/>
      </w:pPr>
      <w:r>
        <w:t xml:space="preserve">These recommendations support data-driven municipal decision-making.</w:t>
      </w:r>
    </w:p>
    <w:p>
      <w:r>
        <w:pict>
          <v:rect style="width:0;height:1.5pt" o:hralign="center" o:hrstd="t" o:hr="t"/>
        </w:pict>
      </w:r>
    </w:p>
    <w:bookmarkEnd w:id="39"/>
    <w:bookmarkEnd w:id="40"/>
    <w:bookmarkStart w:id="46" w:name="X2ebdb13223f9548a172a96c001f8dec6dc7582e"/>
    <w:p>
      <w:pPr>
        <w:pStyle w:val="Heading2"/>
      </w:pPr>
      <w:r>
        <w:t xml:space="preserve">10. Limitations of Rule-Based Resource Allocation</w:t>
      </w:r>
    </w:p>
    <w:p>
      <w:pPr>
        <w:pStyle w:val="FirstParagraph"/>
      </w:pPr>
      <w:r>
        <w:t xml:space="preserve">Although the proposed rule-based approach provides transparency and ease of implementation, several limitations exist.</w:t>
      </w:r>
    </w:p>
    <w:bookmarkStart w:id="41" w:name="X382b4d0eda8a217ca41833b0bd7134726ef06b9"/>
    <w:p>
      <w:pPr>
        <w:pStyle w:val="Heading3"/>
      </w:pPr>
      <w:r>
        <w:t xml:space="preserve">Limitation 1: Travel Distance Not Considered</w:t>
      </w:r>
    </w:p>
    <w:p>
      <w:pPr>
        <w:pStyle w:val="FirstParagraph"/>
      </w:pPr>
      <w:r>
        <w:t xml:space="preserve">The current model does not account for the distance between municipal depots and hotspot locations.</w:t>
      </w:r>
    </w:p>
    <w:bookmarkEnd w:id="41"/>
    <w:bookmarkStart w:id="42" w:name="X567a5ec7c9bc36b1b4eba074389c12cb722c27d"/>
    <w:p>
      <w:pPr>
        <w:pStyle w:val="Heading3"/>
      </w:pPr>
      <w:r>
        <w:t xml:space="preserve">Limitation 2: Worker Availability Not Considered</w:t>
      </w:r>
    </w:p>
    <w:p>
      <w:pPr>
        <w:pStyle w:val="FirstParagraph"/>
      </w:pPr>
      <w:r>
        <w:t xml:space="preserve">Actual workforce availability and shift schedules are not incorporated into allocation decisions.</w:t>
      </w:r>
    </w:p>
    <w:bookmarkEnd w:id="42"/>
    <w:bookmarkStart w:id="43" w:name="limitation-3-traffic-conditions-ignored"/>
    <w:p>
      <w:pPr>
        <w:pStyle w:val="Heading3"/>
      </w:pPr>
      <w:r>
        <w:t xml:space="preserve">Limitation 3: Traffic Conditions Ignored</w:t>
      </w:r>
    </w:p>
    <w:p>
      <w:pPr>
        <w:pStyle w:val="FirstParagraph"/>
      </w:pPr>
      <w:r>
        <w:t xml:space="preserve">The framework assumes ideal travel conditions and does not consider traffic congestion.</w:t>
      </w:r>
    </w:p>
    <w:bookmarkEnd w:id="43"/>
    <w:bookmarkStart w:id="44" w:name="X15595d6ac2e782223e5ad5f95a1a6876fe34f41"/>
    <w:p>
      <w:pPr>
        <w:pStyle w:val="Heading3"/>
      </w:pPr>
      <w:r>
        <w:t xml:space="preserve">Limitation 4: Resource Capacity Constraints</w:t>
      </w:r>
    </w:p>
    <w:p>
      <w:pPr>
        <w:pStyle w:val="FirstParagraph"/>
      </w:pPr>
      <w:r>
        <w:t xml:space="preserve">Vehicle capacities and worker productivity differences are not explicitly modeled.</w:t>
      </w:r>
    </w:p>
    <w:bookmarkEnd w:id="44"/>
    <w:bookmarkStart w:id="45" w:name="limitation-5-non-optimal-allocation"/>
    <w:p>
      <w:pPr>
        <w:pStyle w:val="Heading3"/>
      </w:pPr>
      <w:r>
        <w:t xml:space="preserve">Limitation 5: Non-Optimal Allocation</w:t>
      </w:r>
    </w:p>
    <w:p>
      <w:pPr>
        <w:pStyle w:val="FirstParagraph"/>
      </w:pPr>
      <w:r>
        <w:t xml:space="preserve">Rule-based assignments may not produce globally optimal deployment strategies.</w:t>
      </w:r>
    </w:p>
    <w:p>
      <w:r>
        <w:pict>
          <v:rect style="width:0;height:1.5pt" o:hralign="center" o:hrstd="t" o:hr="t"/>
        </w:pict>
      </w:r>
    </w:p>
    <w:bookmarkEnd w:id="45"/>
    <w:bookmarkEnd w:id="46"/>
    <w:bookmarkStart w:id="54" w:name="future-optimization-scope"/>
    <w:p>
      <w:pPr>
        <w:pStyle w:val="Heading2"/>
      </w:pPr>
      <w:r>
        <w:t xml:space="preserve">11. Future Optimization Scope</w:t>
      </w:r>
    </w:p>
    <w:p>
      <w:pPr>
        <w:pStyle w:val="FirstParagraph"/>
      </w:pPr>
      <w:r>
        <w:t xml:space="preserve">To improve scalability and operational efficiency, future versions of the framework may incorporate mathematical optimization techniques.</w:t>
      </w:r>
    </w:p>
    <w:bookmarkStart w:id="49" w:name="linear-programming-based-optimization"/>
    <w:p>
      <w:pPr>
        <w:pStyle w:val="Heading3"/>
      </w:pPr>
      <w:r>
        <w:t xml:space="preserve">11.1 Linear Programming-Based Optimization</w:t>
      </w:r>
    </w:p>
    <w:p>
      <w:pPr>
        <w:pStyle w:val="FirstParagraph"/>
      </w:pPr>
      <w:r>
        <w:t xml:space="preserve">Linear Programming (LP) can be used to minimize operational costs while satisfying resource constraints.</w:t>
      </w:r>
    </w:p>
    <w:bookmarkStart w:id="47" w:name="objective"/>
    <w:p>
      <w:pPr>
        <w:pStyle w:val="Heading4"/>
      </w:pPr>
      <w:r>
        <w:t xml:space="preserve">Objective</w:t>
      </w:r>
    </w:p>
    <w:p>
      <w:pPr>
        <w:pStyle w:val="FirstParagraph"/>
      </w:pPr>
      <w:r>
        <w:t xml:space="preserve">Minimize:</w:t>
      </w:r>
    </w:p>
    <w:p>
      <w:pPr>
        <w:pStyle w:val="BodyText"/>
      </w:pPr>
      <w:r>
        <w:t xml:space="preserve">• Workforce deployment cost</w:t>
      </w:r>
    </w:p>
    <w:p>
      <w:pPr>
        <w:pStyle w:val="BodyText"/>
      </w:pPr>
      <w:r>
        <w:t xml:space="preserve">• Vehicle operation cost</w:t>
      </w:r>
    </w:p>
    <w:p>
      <w:pPr>
        <w:pStyle w:val="BodyText"/>
      </w:pPr>
      <w:r>
        <w:t xml:space="preserve">• Response time</w:t>
      </w:r>
    </w:p>
    <w:bookmarkEnd w:id="47"/>
    <w:bookmarkStart w:id="48" w:name="constraints"/>
    <w:p>
      <w:pPr>
        <w:pStyle w:val="Heading4"/>
      </w:pPr>
      <w:r>
        <w:t xml:space="preserve">Constraints</w:t>
      </w:r>
    </w:p>
    <w:p>
      <w:pPr>
        <w:pStyle w:val="FirstParagraph"/>
      </w:pPr>
      <w:r>
        <w:t xml:space="preserve">• Limited workers</w:t>
      </w:r>
    </w:p>
    <w:p>
      <w:pPr>
        <w:pStyle w:val="BodyText"/>
      </w:pPr>
      <w:r>
        <w:t xml:space="preserve">• Limited vehicles</w:t>
      </w:r>
    </w:p>
    <w:p>
      <w:pPr>
        <w:pStyle w:val="BodyText"/>
      </w:pPr>
      <w:r>
        <w:t xml:space="preserve">• Service time requirements</w:t>
      </w:r>
    </w:p>
    <w:p>
      <w:pPr>
        <w:pStyle w:val="BodyText"/>
      </w:pPr>
      <w:r>
        <w:t xml:space="preserve">• Ward-specific demands</w:t>
      </w:r>
    </w:p>
    <w:p>
      <w:pPr>
        <w:pStyle w:val="BodyText"/>
      </w:pPr>
      <w:r>
        <w:t xml:space="preserve">LP can provide cost-effective resource allocation decisions.</w:t>
      </w:r>
    </w:p>
    <w:bookmarkEnd w:id="48"/>
    <w:bookmarkEnd w:id="49"/>
    <w:bookmarkStart w:id="50" w:name="integer-programming-based-optimization"/>
    <w:p>
      <w:pPr>
        <w:pStyle w:val="Heading3"/>
      </w:pPr>
      <w:r>
        <w:t xml:space="preserve">11.2 Integer Programming-Based Optimization</w:t>
      </w:r>
    </w:p>
    <w:p>
      <w:pPr>
        <w:pStyle w:val="FirstParagraph"/>
      </w:pPr>
      <w:r>
        <w:t xml:space="preserve">Integer Programming (IP) can support discrete allocation decisions.</w:t>
      </w:r>
    </w:p>
    <w:p>
      <w:pPr>
        <w:pStyle w:val="BodyText"/>
      </w:pPr>
      <w:r>
        <w:t xml:space="preserve">Examples include:</w:t>
      </w:r>
    </w:p>
    <w:p>
      <w:pPr>
        <w:pStyle w:val="BodyText"/>
      </w:pPr>
      <w:r>
        <w:t xml:space="preserve">• Assigning a specific worker team to a ward</w:t>
      </w:r>
    </w:p>
    <w:p>
      <w:pPr>
        <w:pStyle w:val="BodyText"/>
      </w:pPr>
      <w:r>
        <w:t xml:space="preserve">• Assigning collection vehicles</w:t>
      </w:r>
    </w:p>
    <w:p>
      <w:pPr>
        <w:pStyle w:val="BodyText"/>
      </w:pPr>
      <w:r>
        <w:t xml:space="preserve">• Selecting cleanup schedules</w:t>
      </w:r>
    </w:p>
    <w:p>
      <w:pPr>
        <w:pStyle w:val="BodyText"/>
      </w:pPr>
      <w:r>
        <w:t xml:space="preserve">Binary decision variables can represent allocation choices and improve planning accuracy.</w:t>
      </w:r>
    </w:p>
    <w:bookmarkEnd w:id="50"/>
    <w:bookmarkStart w:id="52" w:name="vehicle-routing-problem-vrp"/>
    <w:p>
      <w:pPr>
        <w:pStyle w:val="Heading3"/>
      </w:pPr>
      <w:r>
        <w:t xml:space="preserve">11.3 Vehicle Routing Problem (VRP)</w:t>
      </w:r>
    </w:p>
    <w:p>
      <w:pPr>
        <w:pStyle w:val="FirstParagraph"/>
      </w:pPr>
      <w:r>
        <w:t xml:space="preserve">The Vehicle Routing Problem can optimize waste collection routes.</w:t>
      </w:r>
    </w:p>
    <w:bookmarkStart w:id="51" w:name="objectives"/>
    <w:p>
      <w:pPr>
        <w:pStyle w:val="Heading4"/>
      </w:pPr>
      <w:r>
        <w:t xml:space="preserve">Objectives</w:t>
      </w:r>
    </w:p>
    <w:p>
      <w:pPr>
        <w:pStyle w:val="FirstParagraph"/>
      </w:pPr>
      <w:r>
        <w:t xml:space="preserve">• Minimize travel distance</w:t>
      </w:r>
    </w:p>
    <w:p>
      <w:pPr>
        <w:pStyle w:val="BodyText"/>
      </w:pPr>
      <w:r>
        <w:t xml:space="preserve">• Reduce fuel consumption</w:t>
      </w:r>
    </w:p>
    <w:p>
      <w:pPr>
        <w:pStyle w:val="BodyText"/>
      </w:pPr>
      <w:r>
        <w:t xml:space="preserve">• Improve collection efficiency</w:t>
      </w:r>
    </w:p>
    <w:p>
      <w:pPr>
        <w:pStyle w:val="BodyText"/>
      </w:pPr>
      <w:r>
        <w:t xml:space="preserve">• Reduce operational costs</w:t>
      </w:r>
    </w:p>
    <w:p>
      <w:pPr>
        <w:pStyle w:val="BodyText"/>
      </w:pPr>
      <w:r>
        <w:t xml:space="preserve">VRP-based routing can significantly improve municipal logistics performance.</w:t>
      </w:r>
    </w:p>
    <w:bookmarkEnd w:id="51"/>
    <w:bookmarkEnd w:id="52"/>
    <w:bookmarkStart w:id="53" w:name="workforce-scheduling-optimization"/>
    <w:p>
      <w:pPr>
        <w:pStyle w:val="Heading3"/>
      </w:pPr>
      <w:r>
        <w:t xml:space="preserve">11.4 Workforce Scheduling Optimization</w:t>
      </w:r>
    </w:p>
    <w:p>
      <w:pPr>
        <w:pStyle w:val="FirstParagraph"/>
      </w:pPr>
      <w:r>
        <w:t xml:space="preserve">Workforce scheduling methods can determine optimal staff deployment.</w:t>
      </w:r>
    </w:p>
    <w:p>
      <w:pPr>
        <w:pStyle w:val="BodyText"/>
      </w:pPr>
      <w:r>
        <w:t xml:space="preserve">Potential approaches include:</w:t>
      </w:r>
    </w:p>
    <w:p>
      <w:pPr>
        <w:pStyle w:val="BodyText"/>
      </w:pPr>
      <w:r>
        <w:t xml:space="preserve">• Genetic Algorithms</w:t>
      </w:r>
    </w:p>
    <w:p>
      <w:pPr>
        <w:pStyle w:val="BodyText"/>
      </w:pPr>
      <w:r>
        <w:t xml:space="preserve">• Particle Swarm Optimization</w:t>
      </w:r>
    </w:p>
    <w:p>
      <w:pPr>
        <w:pStyle w:val="BodyText"/>
      </w:pPr>
      <w:r>
        <w:t xml:space="preserve">• Simulated Annealing</w:t>
      </w:r>
    </w:p>
    <w:p>
      <w:pPr>
        <w:pStyle w:val="BodyText"/>
      </w:pPr>
      <w:r>
        <w:t xml:space="preserve">• Reinforcement Learning</w:t>
      </w:r>
    </w:p>
    <w:p>
      <w:pPr>
        <w:pStyle w:val="BodyText"/>
      </w:pPr>
      <w:r>
        <w:t xml:space="preserve">These techniques can improve labor utilization and response efficiency.</w:t>
      </w:r>
    </w:p>
    <w:p>
      <w:r>
        <w:pict>
          <v:rect style="width:0;height:1.5pt" o:hralign="center" o:hrstd="t" o:hr="t"/>
        </w:pict>
      </w:r>
    </w:p>
    <w:bookmarkEnd w:id="53"/>
    <w:bookmarkEnd w:id="54"/>
    <w:bookmarkStart w:id="55" w:name="proposed-future-optimization-framework"/>
    <w:p>
      <w:pPr>
        <w:pStyle w:val="Heading2"/>
      </w:pPr>
      <w:r>
        <w:t xml:space="preserve">12. Proposed Future Optimization Framework</w:t>
      </w:r>
    </w:p>
    <w:p>
      <w:pPr>
        <w:pStyle w:val="FirstParagraph"/>
      </w:pPr>
      <w:r>
        <w:t xml:space="preserve">A future enhanced architecture may operate as follows:</w:t>
      </w:r>
    </w:p>
    <w:p>
      <w:pPr>
        <w:pStyle w:val="BodyText"/>
      </w:pPr>
      <w:r>
        <w:t xml:space="preserve">Waste Detection</w:t>
      </w:r>
    </w:p>
    <w:p>
      <w:pPr>
        <w:pStyle w:val="BodyText"/>
      </w:pPr>
      <w:r>
        <w:t xml:space="preserve">↓</w:t>
      </w:r>
    </w:p>
    <w:p>
      <w:pPr>
        <w:pStyle w:val="BodyText"/>
      </w:pPr>
      <w:r>
        <w:t xml:space="preserve">SWSI Computation</w:t>
      </w:r>
    </w:p>
    <w:p>
      <w:pPr>
        <w:pStyle w:val="BodyText"/>
      </w:pPr>
      <w:r>
        <w:t xml:space="preserve">↓</w:t>
      </w:r>
    </w:p>
    <w:p>
      <w:pPr>
        <w:pStyle w:val="BodyText"/>
      </w:pPr>
      <w:r>
        <w:t xml:space="preserve">DBSCAN Hotspot Detection</w:t>
      </w:r>
    </w:p>
    <w:p>
      <w:pPr>
        <w:pStyle w:val="BodyText"/>
      </w:pPr>
      <w:r>
        <w:t xml:space="preserve">↓</w:t>
      </w:r>
    </w:p>
    <w:p>
      <w:pPr>
        <w:pStyle w:val="BodyText"/>
      </w:pPr>
      <w:r>
        <w:t xml:space="preserve">Priority Ranking</w:t>
      </w:r>
    </w:p>
    <w:p>
      <w:pPr>
        <w:pStyle w:val="BodyText"/>
      </w:pPr>
      <w:r>
        <w:t xml:space="preserve">↓</w:t>
      </w:r>
    </w:p>
    <w:p>
      <w:pPr>
        <w:pStyle w:val="BodyText"/>
      </w:pPr>
      <w:r>
        <w:t xml:space="preserve">Optimization Engine</w:t>
      </w:r>
    </w:p>
    <w:p>
      <w:pPr>
        <w:pStyle w:val="BodyText"/>
      </w:pPr>
      <w:r>
        <w:t xml:space="preserve">↓</w:t>
      </w:r>
    </w:p>
    <w:p>
      <w:pPr>
        <w:pStyle w:val="BodyText"/>
      </w:pPr>
      <w:r>
        <w:t xml:space="preserve">Optimal Workforce Allocation</w:t>
      </w:r>
    </w:p>
    <w:p>
      <w:pPr>
        <w:pStyle w:val="BodyText"/>
      </w:pPr>
      <w:r>
        <w:t xml:space="preserve">↓</w:t>
      </w:r>
    </w:p>
    <w:p>
      <w:pPr>
        <w:pStyle w:val="BodyText"/>
      </w:pPr>
      <w:r>
        <w:t xml:space="preserve">Optimal Vehicle Routing</w:t>
      </w:r>
    </w:p>
    <w:p>
      <w:pPr>
        <w:pStyle w:val="BodyText"/>
      </w:pPr>
      <w:r>
        <w:t xml:space="preserve">↓</w:t>
      </w:r>
    </w:p>
    <w:p>
      <w:pPr>
        <w:pStyle w:val="BodyText"/>
      </w:pPr>
      <w:r>
        <w:t xml:space="preserve">Municipal Decision-Support Dashboard</w:t>
      </w:r>
    </w:p>
    <w:p>
      <w:pPr>
        <w:pStyle w:val="BodyText"/>
      </w:pPr>
      <w:r>
        <w:t xml:space="preserve">This extension transforms the framework from a rule-based system into a fully optimized municipal operations platform.</w:t>
      </w:r>
    </w:p>
    <w:p>
      <w:r>
        <w:pict>
          <v:rect style="width:0;height:1.5pt" o:hralign="center" o:hrstd="t" o:hr="t"/>
        </w:pict>
      </w:r>
    </w:p>
    <w:bookmarkEnd w:id="55"/>
    <w:bookmarkStart w:id="56" w:name="discussion"/>
    <w:p>
      <w:pPr>
        <w:pStyle w:val="Heading2"/>
      </w:pPr>
      <w:r>
        <w:t xml:space="preserve">13. Discussion</w:t>
      </w:r>
    </w:p>
    <w:p>
      <w:pPr>
        <w:pStyle w:val="FirstParagraph"/>
      </w:pPr>
      <w:r>
        <w:t xml:space="preserve">The proposed rule-based resource allocation strategy provides an interpretable and easily deployable mechanism for municipal authorities. By combining waste severity, hotspot information, and operational priorities, the framework generates actionable recommendations that can assist urban sanitation departments in planning cleanup activities.</w:t>
      </w:r>
    </w:p>
    <w:p>
      <w:pPr>
        <w:pStyle w:val="BodyText"/>
      </w:pPr>
      <w:r>
        <w:t xml:space="preserve">Although optimization techniques may yield more efficient solutions, the current rule-based approach offers transparency and ease of implementation, making it suitable for prototype deployment and proof-of-concept validation.</w:t>
      </w:r>
    </w:p>
    <w:p>
      <w:r>
        <w:pict>
          <v:rect style="width:0;height:1.5pt" o:hralign="center" o:hrstd="t" o:hr="t"/>
        </w:pict>
      </w:r>
    </w:p>
    <w:bookmarkEnd w:id="56"/>
    <w:bookmarkStart w:id="57" w:name="conclusion"/>
    <w:p>
      <w:pPr>
        <w:pStyle w:val="Heading2"/>
      </w:pPr>
      <w:r>
        <w:t xml:space="preserve">14. Conclusion</w:t>
      </w:r>
    </w:p>
    <w:p>
      <w:pPr>
        <w:pStyle w:val="FirstParagraph"/>
      </w:pPr>
      <w:r>
        <w:t xml:space="preserve">This study introduced a resource allocation module for the Smart City Garbage Analytics Framework. The module utilizes outputs from the YOLOv8 detection system, the AHP-validated Smart Waste Severity Index, and the DBSCAN hotspot detection mechanism to generate workforce and vehicle allocation recommendations.</w:t>
      </w:r>
    </w:p>
    <w:p>
      <w:pPr>
        <w:pStyle w:val="BodyText"/>
      </w:pPr>
      <w:r>
        <w:t xml:space="preserve">The Smart Waste Severity Index is computed using the final validated AHP-derived weighting scheme:</w:t>
      </w:r>
    </w:p>
    <w:p>
      <w:pPr>
        <w:pStyle w:val="BodyText"/>
      </w:pPr>
      <w:r>
        <w:t xml:space="preserve">SWSI = 0.4658(WC) + 0.2771(WTW) + 0.1611(LS) + 0.0960(HF)</w:t>
      </w:r>
    </w:p>
    <w:p>
      <w:pPr>
        <w:pStyle w:val="BodyText"/>
      </w:pPr>
      <w:r>
        <w:t xml:space="preserve">A rule-based allocation strategy was developed to support municipal operations and provide interpretable decision-support recommendations.</w:t>
      </w:r>
    </w:p>
    <w:p>
      <w:pPr>
        <w:pStyle w:val="BodyText"/>
      </w:pPr>
      <w:r>
        <w:t xml:space="preserve">While the current implementation focuses on practical deployment and operational simplicity, future research will integrate Linear Programming, Integer Programming, Vehicle Routing Problem optimization, and Workforce Scheduling Optimization to improve allocation efficiency and scalability.</w:t>
      </w:r>
    </w:p>
    <w:p>
      <w:pPr>
        <w:pStyle w:val="BodyText"/>
      </w:pPr>
      <w:r>
        <w:t xml:space="preserve">The proposed enhancements will enable the framework to evolve into a comprehensive smart city waste management decision-support system.</w:t>
      </w:r>
    </w:p>
    <w:bookmarkEnd w:id="57"/>
    <w:bookmarkEnd w:id="5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2026-06-19T13:59:54Z</dcterms:created>
  <dcterms:modified xsi:type="dcterms:W3CDTF">2026-06-19T13:59:54Z</dcterms:modified>
</cp:coreProperties>
</file>

<file path=docProps/custom.xml><?xml version="1.0" encoding="utf-8"?>
<Properties xmlns="http://schemas.openxmlformats.org/officeDocument/2006/custom-properties" xmlns:vt="http://schemas.openxmlformats.org/officeDocument/2006/docPropsVTypes"/>
</file>