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E54A" w14:textId="77777777" w:rsidR="00FB6720" w:rsidRDefault="00000000">
      <w:pPr>
        <w:spacing w:after="50"/>
        <w:jc w:val="center"/>
      </w:pPr>
      <w:r>
        <w:rPr>
          <w:b/>
          <w:bCs/>
          <w:color w:val="1F3864"/>
          <w:sz w:val="36"/>
          <w:szCs w:val="36"/>
        </w:rPr>
        <w:t>E-Commerce Sales Insights &amp; Recommendations</w:t>
      </w:r>
    </w:p>
    <w:p w14:paraId="10DFF90A" w14:textId="77777777" w:rsidR="00FB6720" w:rsidRDefault="00000000">
      <w:pPr>
        <w:spacing w:after="300"/>
        <w:jc w:val="center"/>
      </w:pPr>
      <w:r>
        <w:rPr>
          <w:i/>
          <w:iCs/>
          <w:color w:val="555555"/>
          <w:sz w:val="22"/>
          <w:szCs w:val="22"/>
        </w:rPr>
        <w:t>Amazon Sale Report — 128,975 orders, March–June 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B6720" w14:paraId="2439517C" w14:textId="77777777">
        <w:tblPrEx>
          <w:tblCellMar>
            <w:top w:w="0" w:type="dxa"/>
            <w:bottom w:w="0" w:type="dxa"/>
          </w:tblCellMar>
        </w:tblPrEx>
        <w:tc>
          <w:tcPr>
            <w:tcW w:w="2340" w:type="dxa"/>
            <w:shd w:val="clear" w:color="auto" w:fill="F2F2F2"/>
            <w:tcMar>
              <w:top w:w="150" w:type="dxa"/>
              <w:left w:w="150" w:type="dxa"/>
              <w:bottom w:w="150" w:type="dxa"/>
              <w:right w:w="150" w:type="dxa"/>
            </w:tcMar>
          </w:tcPr>
          <w:p w14:paraId="7B61AE19" w14:textId="77777777" w:rsidR="00FB6720" w:rsidRDefault="00000000">
            <w:pPr>
              <w:jc w:val="center"/>
            </w:pPr>
            <w:r>
              <w:rPr>
                <w:b/>
                <w:bCs/>
                <w:color w:val="2E5B8A"/>
                <w:sz w:val="30"/>
                <w:szCs w:val="30"/>
              </w:rPr>
              <w:t>₹7.86 Cr</w:t>
            </w:r>
          </w:p>
          <w:p w14:paraId="6D61017F" w14:textId="77777777" w:rsidR="00FB6720" w:rsidRDefault="00000000">
            <w:pPr>
              <w:jc w:val="center"/>
            </w:pPr>
            <w:r>
              <w:rPr>
                <w:color w:val="555555"/>
                <w:sz w:val="18"/>
                <w:szCs w:val="18"/>
              </w:rPr>
              <w:t>Total Revenue</w:t>
            </w:r>
          </w:p>
        </w:tc>
        <w:tc>
          <w:tcPr>
            <w:tcW w:w="2340" w:type="dxa"/>
            <w:shd w:val="clear" w:color="auto" w:fill="F2F2F2"/>
            <w:tcMar>
              <w:top w:w="150" w:type="dxa"/>
              <w:left w:w="150" w:type="dxa"/>
              <w:bottom w:w="150" w:type="dxa"/>
              <w:right w:w="150" w:type="dxa"/>
            </w:tcMar>
          </w:tcPr>
          <w:p w14:paraId="3D834E43" w14:textId="77777777" w:rsidR="00FB6720" w:rsidRDefault="00000000">
            <w:pPr>
              <w:jc w:val="center"/>
            </w:pPr>
            <w:r>
              <w:rPr>
                <w:b/>
                <w:bCs/>
                <w:color w:val="2E5B8A"/>
                <w:sz w:val="30"/>
                <w:szCs w:val="30"/>
              </w:rPr>
              <w:t>128,975</w:t>
            </w:r>
          </w:p>
          <w:p w14:paraId="715E342F" w14:textId="77777777" w:rsidR="00FB6720" w:rsidRDefault="00000000">
            <w:pPr>
              <w:jc w:val="center"/>
            </w:pPr>
            <w:r>
              <w:rPr>
                <w:color w:val="555555"/>
                <w:sz w:val="18"/>
                <w:szCs w:val="18"/>
              </w:rPr>
              <w:t>Total Orders</w:t>
            </w:r>
          </w:p>
        </w:tc>
        <w:tc>
          <w:tcPr>
            <w:tcW w:w="2340" w:type="dxa"/>
            <w:shd w:val="clear" w:color="auto" w:fill="F2F2F2"/>
            <w:tcMar>
              <w:top w:w="150" w:type="dxa"/>
              <w:left w:w="150" w:type="dxa"/>
              <w:bottom w:w="150" w:type="dxa"/>
              <w:right w:w="150" w:type="dxa"/>
            </w:tcMar>
          </w:tcPr>
          <w:p w14:paraId="4604D2BB" w14:textId="77777777" w:rsidR="00FB6720" w:rsidRDefault="00000000">
            <w:pPr>
              <w:jc w:val="center"/>
            </w:pPr>
            <w:r>
              <w:rPr>
                <w:b/>
                <w:bCs/>
                <w:color w:val="2E5B8A"/>
                <w:sz w:val="30"/>
                <w:szCs w:val="30"/>
              </w:rPr>
              <w:t>14.2%</w:t>
            </w:r>
          </w:p>
          <w:p w14:paraId="421519E3" w14:textId="77777777" w:rsidR="00FB6720" w:rsidRDefault="00000000">
            <w:pPr>
              <w:jc w:val="center"/>
            </w:pPr>
            <w:r>
              <w:rPr>
                <w:color w:val="555555"/>
                <w:sz w:val="18"/>
                <w:szCs w:val="18"/>
              </w:rPr>
              <w:t>Cancellation Rate</w:t>
            </w:r>
          </w:p>
        </w:tc>
        <w:tc>
          <w:tcPr>
            <w:tcW w:w="2340" w:type="dxa"/>
            <w:shd w:val="clear" w:color="auto" w:fill="F2F2F2"/>
            <w:tcMar>
              <w:top w:w="150" w:type="dxa"/>
              <w:left w:w="150" w:type="dxa"/>
              <w:bottom w:w="150" w:type="dxa"/>
              <w:right w:w="150" w:type="dxa"/>
            </w:tcMar>
          </w:tcPr>
          <w:p w14:paraId="3E8EFE05" w14:textId="77777777" w:rsidR="00FB6720" w:rsidRDefault="00000000">
            <w:pPr>
              <w:jc w:val="center"/>
            </w:pPr>
            <w:r>
              <w:rPr>
                <w:b/>
                <w:bCs/>
                <w:color w:val="2E5B8A"/>
                <w:sz w:val="30"/>
                <w:szCs w:val="30"/>
              </w:rPr>
              <w:t>₹661</w:t>
            </w:r>
          </w:p>
          <w:p w14:paraId="0EB3D684" w14:textId="77777777" w:rsidR="00FB6720" w:rsidRDefault="00000000">
            <w:pPr>
              <w:jc w:val="center"/>
            </w:pPr>
            <w:proofErr w:type="spellStart"/>
            <w:r>
              <w:rPr>
                <w:color w:val="555555"/>
                <w:sz w:val="18"/>
                <w:szCs w:val="18"/>
              </w:rPr>
              <w:t>Avg</w:t>
            </w:r>
            <w:proofErr w:type="spellEnd"/>
            <w:r>
              <w:rPr>
                <w:color w:val="555555"/>
                <w:sz w:val="18"/>
                <w:szCs w:val="18"/>
              </w:rPr>
              <w:t xml:space="preserve"> Order Value</w:t>
            </w:r>
          </w:p>
        </w:tc>
      </w:tr>
    </w:tbl>
    <w:p w14:paraId="45F7B91E" w14:textId="77777777" w:rsidR="00FB6720" w:rsidRDefault="00FB6720">
      <w:pPr>
        <w:spacing w:after="250"/>
      </w:pPr>
    </w:p>
    <w:p w14:paraId="4B85A125" w14:textId="77777777" w:rsidR="00FB6720" w:rsidRDefault="00000000">
      <w:pPr>
        <w:pStyle w:val="Heading1"/>
        <w:spacing w:before="300" w:after="150"/>
      </w:pPr>
      <w:r>
        <w:rPr>
          <w:b/>
          <w:bCs/>
          <w:color w:val="1F3864"/>
        </w:rPr>
        <w:t>Executive Summary</w:t>
      </w:r>
    </w:p>
    <w:p w14:paraId="6083DBD6" w14:textId="77777777" w:rsidR="00FB6720" w:rsidRDefault="00000000">
      <w:pPr>
        <w:spacing w:after="150"/>
      </w:pPr>
      <w:r>
        <w:t>This report summarizes the key patterns found across four weeks of analysis on Amazon's e-commerce sales data (cleaned with Pandas, explored with visualizations, verified with SQL, and consolidated here into a dashboard). Three findings stood out as both significant and actionable, and each is paired with a specific recommendation below.</w:t>
      </w:r>
    </w:p>
    <w:p w14:paraId="3D9580F3" w14:textId="77777777" w:rsidR="00FB6720" w:rsidRDefault="00000000">
      <w:pPr>
        <w:pStyle w:val="Heading1"/>
        <w:spacing w:before="300" w:after="150"/>
      </w:pPr>
      <w:r>
        <w:rPr>
          <w:b/>
          <w:bCs/>
          <w:color w:val="1F3864"/>
        </w:rPr>
        <w:t>Finding 1: Cancellations are a systemic issue, not a product problem</w:t>
      </w:r>
    </w:p>
    <w:p w14:paraId="59D2C76E" w14:textId="77777777" w:rsidR="00A80CE6" w:rsidRDefault="00000000">
      <w:pPr>
        <w:spacing w:after="150"/>
      </w:pPr>
      <w:r>
        <w:t>14.2% of all orders (18,332 of 128,975) are cancelled. Critically, this rate is nearly uniform across every product category (12–15%) and across pricing tiers (Premium categories: 14.3% vs. Standard: 13.9%). If cancellations were driven by a specific product's quality or price, we would expect much larger swings between categories — we don'</w:t>
      </w:r>
      <w:r w:rsidR="00A80CE6">
        <w:t xml:space="preserve">t </w:t>
      </w:r>
      <w:r>
        <w:t>see that.</w:t>
      </w:r>
    </w:p>
    <w:p w14:paraId="2B80CCCF" w14:textId="28DCA295" w:rsidR="00FB6720" w:rsidRDefault="00A80CE6">
      <w:pPr>
        <w:spacing w:after="150"/>
      </w:pPr>
      <w:r>
        <w:t xml:space="preserve">                </w:t>
      </w:r>
      <w:r w:rsidRPr="00A80CE6">
        <w:rPr>
          <w:noProof/>
        </w:rPr>
        <w:t xml:space="preserve"> </w:t>
      </w:r>
      <w:r>
        <w:rPr>
          <w:noProof/>
        </w:rPr>
        <w:drawing>
          <wp:inline distT="0" distB="0" distL="0" distR="0" wp14:anchorId="53E52C66" wp14:editId="19E51528">
            <wp:extent cx="4914900" cy="2743200"/>
            <wp:effectExtent l="0" t="0" r="0" b="0"/>
            <wp:docPr id="332924601" name="Chart 1">
              <a:extLst xmlns:a="http://schemas.openxmlformats.org/drawingml/2006/main">
                <a:ext uri="{FF2B5EF4-FFF2-40B4-BE49-F238E27FC236}">
                  <a16:creationId xmlns:a16="http://schemas.microsoft.com/office/drawing/2014/main" id="{41CA4471-F7CA-423A-8703-D0898554BF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593667D" w14:textId="0F4495E9" w:rsidR="00A80CE6" w:rsidRDefault="00A80CE6">
      <w:pPr>
        <w:spacing w:after="150"/>
      </w:pPr>
    </w:p>
    <w:p w14:paraId="56FE13FE" w14:textId="77777777" w:rsidR="00FB6720" w:rsidRDefault="00000000">
      <w:pPr>
        <w:pStyle w:val="Heading2"/>
        <w:spacing w:before="200" w:after="100"/>
      </w:pPr>
      <w:r>
        <w:rPr>
          <w:b/>
          <w:bCs/>
          <w:color w:val="2E5B8A"/>
        </w:rPr>
        <w:t>Recommendation 1</w:t>
      </w:r>
    </w:p>
    <w:p w14:paraId="6C51DDEC" w14:textId="77777777" w:rsidR="00FB6720" w:rsidRDefault="00000000">
      <w:pPr>
        <w:spacing w:after="150"/>
      </w:pPr>
      <w:r>
        <w:t>Investigate the checkout and post-order journey — payment failures, delivery time estimates shown at checkout, and address/COD verification — rather than product-level fixes. Since the pattern is uniform across categories and price points, a single process fix (e.g. clearer delivery-date estimates or a payment retry flow) is likely to reduce cancellations broadly, rather than requiring category-specific interventions.</w:t>
      </w:r>
    </w:p>
    <w:p w14:paraId="1BBBA118" w14:textId="77777777" w:rsidR="00FB6720" w:rsidRDefault="00000000">
      <w:pPr>
        <w:pStyle w:val="Heading1"/>
        <w:spacing w:before="300" w:after="150"/>
      </w:pPr>
      <w:r>
        <w:rPr>
          <w:b/>
          <w:bCs/>
          <w:color w:val="1F3864"/>
        </w:rPr>
        <w:lastRenderedPageBreak/>
        <w:t>Finding 2: Revenue is concentrated in two categories, and declining month over month</w:t>
      </w:r>
    </w:p>
    <w:p w14:paraId="081FE107" w14:textId="77777777" w:rsidR="00FB6720" w:rsidRDefault="00000000">
      <w:pPr>
        <w:spacing w:after="150"/>
      </w:pPr>
      <w:r>
        <w:t>Just two categories — Set and kurta — account for roughly 78% of all orders. At the same time, overall monthly order volume has been declining since its April peak: April (49,067 orders) → May (42,040) → June (37,697), a 23% drop in two months. Combined, this means the business's revenue engine is both narrow and currently shrinking.</w:t>
      </w:r>
    </w:p>
    <w:p w14:paraId="0920565D" w14:textId="77777777" w:rsidR="00F0591C" w:rsidRDefault="00F0591C">
      <w:pPr>
        <w:spacing w:after="150"/>
      </w:pPr>
    </w:p>
    <w:p w14:paraId="1AA6E6B9" w14:textId="6ED858AC" w:rsidR="00F0591C" w:rsidRDefault="00F0591C">
      <w:pPr>
        <w:spacing w:after="150"/>
      </w:pPr>
      <w:r>
        <w:t xml:space="preserve"> </w:t>
      </w:r>
      <w:r>
        <w:rPr>
          <w:noProof/>
        </w:rPr>
        <w:drawing>
          <wp:inline distT="0" distB="0" distL="0" distR="0" wp14:anchorId="5C1875BD" wp14:editId="180C27F7">
            <wp:extent cx="5943600" cy="2615565"/>
            <wp:effectExtent l="0" t="0" r="0" b="13335"/>
            <wp:docPr id="1645831262" name="Chart 1">
              <a:extLst xmlns:a="http://schemas.openxmlformats.org/drawingml/2006/main">
                <a:ext uri="{FF2B5EF4-FFF2-40B4-BE49-F238E27FC236}">
                  <a16:creationId xmlns:a16="http://schemas.microsoft.com/office/drawing/2014/main" id="{D2FE8344-28B5-4360-8458-51FB630C55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t xml:space="preserve">  </w:t>
      </w:r>
    </w:p>
    <w:p w14:paraId="22369F3E" w14:textId="77777777" w:rsidR="00F0591C" w:rsidRDefault="00F0591C">
      <w:pPr>
        <w:pStyle w:val="Heading2"/>
        <w:spacing w:before="200" w:after="100"/>
        <w:rPr>
          <w:b/>
          <w:bCs/>
          <w:color w:val="2E5B8A"/>
        </w:rPr>
      </w:pPr>
    </w:p>
    <w:p w14:paraId="374635DC" w14:textId="46B17DDF" w:rsidR="00FB6720" w:rsidRDefault="00000000">
      <w:pPr>
        <w:pStyle w:val="Heading2"/>
        <w:spacing w:before="200" w:after="100"/>
      </w:pPr>
      <w:r>
        <w:rPr>
          <w:b/>
          <w:bCs/>
          <w:color w:val="2E5B8A"/>
        </w:rPr>
        <w:t>Recommendation 2</w:t>
      </w:r>
    </w:p>
    <w:p w14:paraId="1B8D0C8B" w14:textId="77777777" w:rsidR="00FB6720" w:rsidRDefault="00000000">
      <w:pPr>
        <w:spacing w:after="150"/>
      </w:pPr>
      <w:r>
        <w:t>Run a time-boxed promotional push on the two next-tier categories (Western Dress and Top, currently 15,500 and 10,622 orders respectively) to diversify revenue away from total dependence on Set and kurta. Pair this with an investigation into what specifically drove April's peak (a sale event, seasonal demand, or marketing push) so it can be deliberately repeated rather than left to chance.</w:t>
      </w:r>
    </w:p>
    <w:p w14:paraId="0D26FF40" w14:textId="77777777" w:rsidR="00FB6720" w:rsidRDefault="00000000">
      <w:pPr>
        <w:pStyle w:val="Heading1"/>
        <w:spacing w:before="300" w:after="150"/>
      </w:pPr>
      <w:r>
        <w:rPr>
          <w:b/>
          <w:bCs/>
          <w:color w:val="1F3864"/>
        </w:rPr>
        <w:t>Finding 3: Order value is driven by product type, not quantity or B2B status</w:t>
      </w:r>
    </w:p>
    <w:p w14:paraId="2C1AEA0E" w14:textId="77777777" w:rsidR="00FB6720" w:rsidRDefault="00000000">
      <w:pPr>
        <w:spacing w:after="150"/>
      </w:pPr>
      <w:r>
        <w:t>Order Amount shows almost no relationship with Quantity ordered — orders of 1 item span nearly the same price range (₹200–₹2,500) as orders of 2–3 items. Similarly, B2B orders (under 1% of total) are only marginally higher in value (₹701 vs ₹661) than regular retail orders. This means pricing and revenue are driven almost entirely by which product is bought, not by who buys it or how many units.</w:t>
      </w:r>
    </w:p>
    <w:p w14:paraId="6B0F09C5" w14:textId="1F9FAD5C" w:rsidR="00474816" w:rsidRDefault="00474816">
      <w:pPr>
        <w:spacing w:after="150"/>
      </w:pPr>
      <w:r>
        <w:rPr>
          <w:noProof/>
        </w:rPr>
        <w:lastRenderedPageBreak/>
        <w:drawing>
          <wp:inline distT="0" distB="0" distL="0" distR="0" wp14:anchorId="4BCA6376" wp14:editId="7FB09F23">
            <wp:extent cx="5943600" cy="2615565"/>
            <wp:effectExtent l="0" t="0" r="0" b="13335"/>
            <wp:docPr id="565732558" name="Chart 1">
              <a:extLst xmlns:a="http://schemas.openxmlformats.org/drawingml/2006/main">
                <a:ext uri="{FF2B5EF4-FFF2-40B4-BE49-F238E27FC236}">
                  <a16:creationId xmlns:a16="http://schemas.microsoft.com/office/drawing/2014/main" id="{D2FE8344-28B5-4360-8458-51FB630C55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1B4B819" w14:textId="77777777" w:rsidR="00474816" w:rsidRDefault="00474816">
      <w:pPr>
        <w:pStyle w:val="Heading2"/>
        <w:spacing w:before="200" w:after="100"/>
        <w:rPr>
          <w:b/>
          <w:bCs/>
          <w:color w:val="2E5B8A"/>
        </w:rPr>
      </w:pPr>
    </w:p>
    <w:p w14:paraId="376D0078" w14:textId="611F1D52" w:rsidR="00FB6720" w:rsidRDefault="00000000">
      <w:pPr>
        <w:pStyle w:val="Heading2"/>
        <w:spacing w:before="200" w:after="100"/>
      </w:pPr>
      <w:r>
        <w:rPr>
          <w:b/>
          <w:bCs/>
          <w:color w:val="2E5B8A"/>
        </w:rPr>
        <w:t>Recommendation 3</w:t>
      </w:r>
    </w:p>
    <w:p w14:paraId="6BB7D3C8" w14:textId="77777777" w:rsidR="00FB6720" w:rsidRDefault="00000000">
      <w:pPr>
        <w:spacing w:after="150"/>
      </w:pPr>
      <w:r>
        <w:t>Since bulk/B2B buying isn't currently driving higher basket sizes, introduce quantity-based incentives (e.g. “buy 2, save 10%” bundles) specifically on the high-volume, lower-value kurta category identified in Finding 2 — this directly targets the gap between kurta's high order count and below-average order value, with the goal of lifting average order value without needing to acquire new customers.</w:t>
      </w:r>
    </w:p>
    <w:p w14:paraId="064497D8" w14:textId="77777777" w:rsidR="00FB6720" w:rsidRDefault="00FB6720">
      <w:pPr>
        <w:pBdr>
          <w:top w:val="single" w:sz="6" w:space="0" w:color="CCCCCC"/>
        </w:pBdr>
        <w:spacing w:before="300"/>
      </w:pPr>
    </w:p>
    <w:p w14:paraId="1081FA6F" w14:textId="77777777" w:rsidR="00FB6720" w:rsidRDefault="00000000">
      <w:pPr>
        <w:spacing w:before="150"/>
      </w:pPr>
      <w:r>
        <w:rPr>
          <w:b/>
          <w:bCs/>
          <w:sz w:val="18"/>
          <w:szCs w:val="18"/>
        </w:rPr>
        <w:t xml:space="preserve">Methodology: </w:t>
      </w:r>
      <w:r>
        <w:rPr>
          <w:color w:val="555555"/>
          <w:sz w:val="18"/>
          <w:szCs w:val="18"/>
        </w:rPr>
        <w:t>Data cleaned in Python/Pandas (missing values, duplicates, data types corrected), explored via Matplotlib visualizations, cross-verified with SQL (SQLite) queries, and consolidated into this Excel dashboard. Full analysis available on GitHub.</w:t>
      </w:r>
    </w:p>
    <w:sectPr w:rsidR="00FB67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7352E"/>
    <w:multiLevelType w:val="hybridMultilevel"/>
    <w:tmpl w:val="66A42EE4"/>
    <w:lvl w:ilvl="0" w:tplc="4A54E214">
      <w:start w:val="1"/>
      <w:numFmt w:val="bullet"/>
      <w:lvlText w:val="●"/>
      <w:lvlJc w:val="left"/>
      <w:pPr>
        <w:ind w:left="720" w:hanging="360"/>
      </w:pPr>
    </w:lvl>
    <w:lvl w:ilvl="1" w:tplc="AFCA865C">
      <w:start w:val="1"/>
      <w:numFmt w:val="bullet"/>
      <w:lvlText w:val="○"/>
      <w:lvlJc w:val="left"/>
      <w:pPr>
        <w:ind w:left="1440" w:hanging="360"/>
      </w:pPr>
    </w:lvl>
    <w:lvl w:ilvl="2" w:tplc="D840907E">
      <w:start w:val="1"/>
      <w:numFmt w:val="bullet"/>
      <w:lvlText w:val="■"/>
      <w:lvlJc w:val="left"/>
      <w:pPr>
        <w:ind w:left="2160" w:hanging="360"/>
      </w:pPr>
    </w:lvl>
    <w:lvl w:ilvl="3" w:tplc="BAA8387C">
      <w:start w:val="1"/>
      <w:numFmt w:val="bullet"/>
      <w:lvlText w:val="●"/>
      <w:lvlJc w:val="left"/>
      <w:pPr>
        <w:ind w:left="2880" w:hanging="360"/>
      </w:pPr>
    </w:lvl>
    <w:lvl w:ilvl="4" w:tplc="58F4E2EE">
      <w:start w:val="1"/>
      <w:numFmt w:val="bullet"/>
      <w:lvlText w:val="○"/>
      <w:lvlJc w:val="left"/>
      <w:pPr>
        <w:ind w:left="3600" w:hanging="360"/>
      </w:pPr>
    </w:lvl>
    <w:lvl w:ilvl="5" w:tplc="89F04E84">
      <w:start w:val="1"/>
      <w:numFmt w:val="bullet"/>
      <w:lvlText w:val="■"/>
      <w:lvlJc w:val="left"/>
      <w:pPr>
        <w:ind w:left="4320" w:hanging="360"/>
      </w:pPr>
    </w:lvl>
    <w:lvl w:ilvl="6" w:tplc="9324542E">
      <w:start w:val="1"/>
      <w:numFmt w:val="bullet"/>
      <w:lvlText w:val="●"/>
      <w:lvlJc w:val="left"/>
      <w:pPr>
        <w:ind w:left="5040" w:hanging="360"/>
      </w:pPr>
    </w:lvl>
    <w:lvl w:ilvl="7" w:tplc="FD3ED838">
      <w:start w:val="1"/>
      <w:numFmt w:val="bullet"/>
      <w:lvlText w:val="●"/>
      <w:lvlJc w:val="left"/>
      <w:pPr>
        <w:ind w:left="5760" w:hanging="360"/>
      </w:pPr>
    </w:lvl>
    <w:lvl w:ilvl="8" w:tplc="909A0080">
      <w:start w:val="1"/>
      <w:numFmt w:val="bullet"/>
      <w:lvlText w:val="●"/>
      <w:lvlJc w:val="left"/>
      <w:pPr>
        <w:ind w:left="6480" w:hanging="360"/>
      </w:pPr>
    </w:lvl>
  </w:abstractNum>
  <w:num w:numId="1" w16cid:durableId="1378161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720"/>
    <w:rsid w:val="00474816"/>
    <w:rsid w:val="005167CE"/>
    <w:rsid w:val="00A80CE6"/>
    <w:rsid w:val="00F0591C"/>
    <w:rsid w:val="00FB6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E7AE"/>
  <w15:docId w15:val="{5E7C4028-2ACF-4F5A-99C9-4E78AD1A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uchita\Downloads\cleaned_ecommerce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uchita\Downloads\cleaned_ecommerce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uchita\Downloads\cleaned_ecommerce_data.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[cleaned_ecommerce_data.xlsx]Status!PivotTable1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Status!$B$3</c:f>
              <c:strCache>
                <c:ptCount val="1"/>
                <c:pt idx="0">
                  <c:v>Total</c:v>
                </c:pt>
              </c:strCache>
            </c:strRef>
          </c:tx>
          <c:spPr>
            <a:solidFill>
              <a:schemeClr val="accent1"/>
            </a:solidFill>
            <a:ln>
              <a:noFill/>
            </a:ln>
            <a:effectLst/>
          </c:spPr>
          <c:invertIfNegative val="0"/>
          <c:cat>
            <c:strRef>
              <c:f>Status!$A$4:$A$17</c:f>
              <c:strCache>
                <c:ptCount val="13"/>
                <c:pt idx="0">
                  <c:v>Cancelled</c:v>
                </c:pt>
                <c:pt idx="1">
                  <c:v>Pending</c:v>
                </c:pt>
                <c:pt idx="2">
                  <c:v>Pending - Waiting for Pick Up</c:v>
                </c:pt>
                <c:pt idx="3">
                  <c:v>Shipped</c:v>
                </c:pt>
                <c:pt idx="4">
                  <c:v>Shipped - Damaged</c:v>
                </c:pt>
                <c:pt idx="5">
                  <c:v>Shipped - Delivered to Buyer</c:v>
                </c:pt>
                <c:pt idx="6">
                  <c:v>Shipped - Lost in Transit</c:v>
                </c:pt>
                <c:pt idx="7">
                  <c:v>Shipped - Out for Delivery</c:v>
                </c:pt>
                <c:pt idx="8">
                  <c:v>Shipped - Picked Up</c:v>
                </c:pt>
                <c:pt idx="9">
                  <c:v>Shipped - Rejected by Buyer</c:v>
                </c:pt>
                <c:pt idx="10">
                  <c:v>Shipped - Returned to Seller</c:v>
                </c:pt>
                <c:pt idx="11">
                  <c:v>Shipped - Returning to Seller</c:v>
                </c:pt>
                <c:pt idx="12">
                  <c:v>Shipping</c:v>
                </c:pt>
              </c:strCache>
            </c:strRef>
          </c:cat>
          <c:val>
            <c:numRef>
              <c:f>Status!$B$4:$B$17</c:f>
              <c:numCache>
                <c:formatCode>General</c:formatCode>
                <c:ptCount val="13"/>
                <c:pt idx="0">
                  <c:v>18332</c:v>
                </c:pt>
                <c:pt idx="1">
                  <c:v>658</c:v>
                </c:pt>
                <c:pt idx="2">
                  <c:v>281</c:v>
                </c:pt>
                <c:pt idx="3">
                  <c:v>77804</c:v>
                </c:pt>
                <c:pt idx="4">
                  <c:v>1</c:v>
                </c:pt>
                <c:pt idx="5">
                  <c:v>28769</c:v>
                </c:pt>
                <c:pt idx="6">
                  <c:v>5</c:v>
                </c:pt>
                <c:pt idx="7">
                  <c:v>35</c:v>
                </c:pt>
                <c:pt idx="8">
                  <c:v>973</c:v>
                </c:pt>
                <c:pt idx="9">
                  <c:v>11</c:v>
                </c:pt>
                <c:pt idx="10">
                  <c:v>1953</c:v>
                </c:pt>
                <c:pt idx="11">
                  <c:v>145</c:v>
                </c:pt>
                <c:pt idx="12">
                  <c:v>8</c:v>
                </c:pt>
              </c:numCache>
            </c:numRef>
          </c:val>
          <c:extLst>
            <c:ext xmlns:c16="http://schemas.microsoft.com/office/drawing/2014/chart" uri="{C3380CC4-5D6E-409C-BE32-E72D297353CC}">
              <c16:uniqueId val="{00000000-0B7E-403B-A3BC-51065B09F2D1}"/>
            </c:ext>
          </c:extLst>
        </c:ser>
        <c:dLbls>
          <c:showLegendKey val="0"/>
          <c:showVal val="0"/>
          <c:showCatName val="0"/>
          <c:showSerName val="0"/>
          <c:showPercent val="0"/>
          <c:showBubbleSize val="0"/>
        </c:dLbls>
        <c:gapWidth val="182"/>
        <c:axId val="1449126032"/>
        <c:axId val="1299072848"/>
      </c:barChart>
      <c:catAx>
        <c:axId val="1449126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9072848"/>
        <c:crosses val="autoZero"/>
        <c:auto val="1"/>
        <c:lblAlgn val="ctr"/>
        <c:lblOffset val="100"/>
        <c:noMultiLvlLbl val="0"/>
      </c:catAx>
      <c:valAx>
        <c:axId val="12990728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91260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[cleaned_ecommerce_data.xlsx]Category!PivotTable1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Category!$B$3</c:f>
              <c:strCache>
                <c:ptCount val="1"/>
                <c:pt idx="0">
                  <c:v>Total</c:v>
                </c:pt>
              </c:strCache>
            </c:strRef>
          </c:tx>
          <c:spPr>
            <a:solidFill>
              <a:schemeClr val="accent1"/>
            </a:solidFill>
            <a:ln>
              <a:noFill/>
            </a:ln>
            <a:effectLst/>
          </c:spPr>
          <c:invertIfNegative val="0"/>
          <c:cat>
            <c:strRef>
              <c:f>Category!$A$4:$A$13</c:f>
              <c:strCache>
                <c:ptCount val="9"/>
                <c:pt idx="0">
                  <c:v>Blouse</c:v>
                </c:pt>
                <c:pt idx="1">
                  <c:v>Bottom</c:v>
                </c:pt>
                <c:pt idx="2">
                  <c:v>Dupatta</c:v>
                </c:pt>
                <c:pt idx="3">
                  <c:v>Ethnic Dress</c:v>
                </c:pt>
                <c:pt idx="4">
                  <c:v>kurta</c:v>
                </c:pt>
                <c:pt idx="5">
                  <c:v>Saree</c:v>
                </c:pt>
                <c:pt idx="6">
                  <c:v>Set</c:v>
                </c:pt>
                <c:pt idx="7">
                  <c:v>Top</c:v>
                </c:pt>
                <c:pt idx="8">
                  <c:v>Western Dress</c:v>
                </c:pt>
              </c:strCache>
            </c:strRef>
          </c:cat>
          <c:val>
            <c:numRef>
              <c:f>Category!$B$4:$B$13</c:f>
              <c:numCache>
                <c:formatCode>General</c:formatCode>
                <c:ptCount val="9"/>
                <c:pt idx="0">
                  <c:v>926</c:v>
                </c:pt>
                <c:pt idx="1">
                  <c:v>440</c:v>
                </c:pt>
                <c:pt idx="2">
                  <c:v>3</c:v>
                </c:pt>
                <c:pt idx="3">
                  <c:v>1159</c:v>
                </c:pt>
                <c:pt idx="4">
                  <c:v>49877</c:v>
                </c:pt>
                <c:pt idx="5">
                  <c:v>164</c:v>
                </c:pt>
                <c:pt idx="6">
                  <c:v>50284</c:v>
                </c:pt>
                <c:pt idx="7">
                  <c:v>10622</c:v>
                </c:pt>
                <c:pt idx="8">
                  <c:v>15500</c:v>
                </c:pt>
              </c:numCache>
            </c:numRef>
          </c:val>
          <c:extLst>
            <c:ext xmlns:c16="http://schemas.microsoft.com/office/drawing/2014/chart" uri="{C3380CC4-5D6E-409C-BE32-E72D297353CC}">
              <c16:uniqueId val="{00000000-A042-4534-929E-7F69BFE0177B}"/>
            </c:ext>
          </c:extLst>
        </c:ser>
        <c:dLbls>
          <c:showLegendKey val="0"/>
          <c:showVal val="0"/>
          <c:showCatName val="0"/>
          <c:showSerName val="0"/>
          <c:showPercent val="0"/>
          <c:showBubbleSize val="0"/>
        </c:dLbls>
        <c:gapWidth val="182"/>
        <c:axId val="1480583056"/>
        <c:axId val="1543312816"/>
      </c:barChart>
      <c:catAx>
        <c:axId val="14805830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3312816"/>
        <c:crosses val="autoZero"/>
        <c:auto val="1"/>
        <c:lblAlgn val="ctr"/>
        <c:lblOffset val="100"/>
        <c:noMultiLvlLbl val="0"/>
      </c:catAx>
      <c:valAx>
        <c:axId val="15433128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05830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[cleaned_ecommerce_data.xlsx]Category!PivotTable1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Category!$B$3</c:f>
              <c:strCache>
                <c:ptCount val="1"/>
                <c:pt idx="0">
                  <c:v>Total</c:v>
                </c:pt>
              </c:strCache>
            </c:strRef>
          </c:tx>
          <c:spPr>
            <a:solidFill>
              <a:schemeClr val="accent1"/>
            </a:solidFill>
            <a:ln>
              <a:noFill/>
            </a:ln>
            <a:effectLst/>
          </c:spPr>
          <c:invertIfNegative val="0"/>
          <c:cat>
            <c:strRef>
              <c:f>Category!$A$4:$A$13</c:f>
              <c:strCache>
                <c:ptCount val="9"/>
                <c:pt idx="0">
                  <c:v>Blouse</c:v>
                </c:pt>
                <c:pt idx="1">
                  <c:v>Bottom</c:v>
                </c:pt>
                <c:pt idx="2">
                  <c:v>Dupatta</c:v>
                </c:pt>
                <c:pt idx="3">
                  <c:v>Ethnic Dress</c:v>
                </c:pt>
                <c:pt idx="4">
                  <c:v>kurta</c:v>
                </c:pt>
                <c:pt idx="5">
                  <c:v>Saree</c:v>
                </c:pt>
                <c:pt idx="6">
                  <c:v>Set</c:v>
                </c:pt>
                <c:pt idx="7">
                  <c:v>Top</c:v>
                </c:pt>
                <c:pt idx="8">
                  <c:v>Western Dress</c:v>
                </c:pt>
              </c:strCache>
            </c:strRef>
          </c:cat>
          <c:val>
            <c:numRef>
              <c:f>Category!$B$4:$B$13</c:f>
              <c:numCache>
                <c:formatCode>General</c:formatCode>
                <c:ptCount val="9"/>
                <c:pt idx="0">
                  <c:v>926</c:v>
                </c:pt>
                <c:pt idx="1">
                  <c:v>440</c:v>
                </c:pt>
                <c:pt idx="2">
                  <c:v>3</c:v>
                </c:pt>
                <c:pt idx="3">
                  <c:v>1159</c:v>
                </c:pt>
                <c:pt idx="4">
                  <c:v>49877</c:v>
                </c:pt>
                <c:pt idx="5">
                  <c:v>164</c:v>
                </c:pt>
                <c:pt idx="6">
                  <c:v>50284</c:v>
                </c:pt>
                <c:pt idx="7">
                  <c:v>10622</c:v>
                </c:pt>
                <c:pt idx="8">
                  <c:v>15500</c:v>
                </c:pt>
              </c:numCache>
            </c:numRef>
          </c:val>
          <c:extLst>
            <c:ext xmlns:c16="http://schemas.microsoft.com/office/drawing/2014/chart" uri="{C3380CC4-5D6E-409C-BE32-E72D297353CC}">
              <c16:uniqueId val="{00000000-2C0B-4D8F-B868-D5305883CEE9}"/>
            </c:ext>
          </c:extLst>
        </c:ser>
        <c:dLbls>
          <c:showLegendKey val="0"/>
          <c:showVal val="0"/>
          <c:showCatName val="0"/>
          <c:showSerName val="0"/>
          <c:showPercent val="0"/>
          <c:showBubbleSize val="0"/>
        </c:dLbls>
        <c:gapWidth val="182"/>
        <c:axId val="1480583056"/>
        <c:axId val="1543312816"/>
      </c:barChart>
      <c:catAx>
        <c:axId val="14805830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3312816"/>
        <c:crosses val="autoZero"/>
        <c:auto val="1"/>
        <c:lblAlgn val="ctr"/>
        <c:lblOffset val="100"/>
        <c:noMultiLvlLbl val="0"/>
      </c:catAx>
      <c:valAx>
        <c:axId val="15433128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05830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Ruchitha Gottipati</cp:lastModifiedBy>
  <cp:revision>4</cp:revision>
  <dcterms:created xsi:type="dcterms:W3CDTF">2026-09-02T05:50:00Z</dcterms:created>
  <dcterms:modified xsi:type="dcterms:W3CDTF">2026-09-02T06:15:00Z</dcterms:modified>
</cp:coreProperties>
</file>