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TASK</w:t>
      </w:r>
    </w:p>
    <w:p>
      <w:pPr>
        <w:jc w:val="center"/>
      </w:pPr>
      <w:r>
        <w:rPr>
          <w:b/>
          <w:sz w:val="42"/>
        </w:rPr>
        <w:t>Data Collection, Cleaning, and Preprocessing for Logistics Analysis</w:t>
      </w:r>
    </w:p>
    <w:p>
      <w:pPr>
        <w:jc w:val="center"/>
      </w:pPr>
      <w:r>
        <w:rPr>
          <w:i/>
          <w:sz w:val="26"/>
        </w:rPr>
        <w:t>Data Preprocessing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Project Area</w:t>
            </w:r>
          </w:p>
        </w:tc>
        <w:tc>
          <w:tcPr>
            <w:tcW w:type="dxa" w:w="5040"/>
            <w:vAlign w:val="center"/>
          </w:tcPr>
          <w:p>
            <w:r/>
            <w:r>
              <w:rPr>
                <w:rFonts w:ascii="Aptos" w:hAnsi="Aptos"/>
                <w:b w:val="0"/>
                <w:sz w:val="19"/>
              </w:rPr>
              <w:t>Logistics and Supply Chain Analytics</w:t>
            </w:r>
          </w:p>
        </w:tc>
      </w:tr>
      <w:tr>
        <w:tc>
          <w:tcPr>
            <w:tcW w:type="dxa" w:w="5040"/>
            <w:vAlign w:val="center"/>
            <w:shd w:fill="EAF2F8"/>
          </w:tcPr>
          <w:p>
            <w:r/>
            <w:r>
              <w:rPr>
                <w:rFonts w:ascii="Aptos" w:hAnsi="Aptos"/>
                <w:b/>
                <w:sz w:val="19"/>
              </w:rPr>
              <w:t>Reference Dataset</w:t>
            </w:r>
          </w:p>
        </w:tc>
        <w:tc>
          <w:tcPr>
            <w:tcW w:type="dxa" w:w="5040"/>
            <w:vAlign w:val="center"/>
          </w:tcPr>
          <w:p>
            <w:r/>
            <w:r>
              <w:rPr>
                <w:rFonts w:ascii="Aptos" w:hAnsi="Aptos"/>
                <w:b w:val="0"/>
                <w:sz w:val="19"/>
              </w:rPr>
              <w:t>DataCo SMART Supply Chain dataset</w:t>
            </w:r>
          </w:p>
        </w:tc>
      </w:tr>
      <w:tr>
        <w:tc>
          <w:tcPr>
            <w:tcW w:type="dxa" w:w="5040"/>
            <w:vAlign w:val="center"/>
            <w:shd w:fill="EAF2F8"/>
          </w:tcPr>
          <w:p>
            <w:r/>
            <w:r>
              <w:rPr>
                <w:rFonts w:ascii="Aptos" w:hAnsi="Aptos"/>
                <w:b/>
                <w:sz w:val="19"/>
              </w:rPr>
              <w:t>Primary Tools</w:t>
            </w:r>
          </w:p>
        </w:tc>
        <w:tc>
          <w:tcPr>
            <w:tcW w:type="dxa" w:w="5040"/>
            <w:vAlign w:val="center"/>
          </w:tcPr>
          <w:p>
            <w:r/>
            <w:r>
              <w:rPr>
                <w:rFonts w:ascii="Aptos" w:hAnsi="Aptos"/>
                <w:b w:val="0"/>
                <w:sz w:val="19"/>
              </w:rPr>
              <w:t>Python, Pandas, NumPy, Scikit-learn</w:t>
            </w:r>
          </w:p>
        </w:tc>
      </w:tr>
      <w:tr>
        <w:tc>
          <w:tcPr>
            <w:tcW w:type="dxa" w:w="5040"/>
            <w:vAlign w:val="center"/>
            <w:shd w:fill="EAF2F8"/>
          </w:tcPr>
          <w:p>
            <w:r/>
            <w:r>
              <w:rPr>
                <w:rFonts w:ascii="Aptos" w:hAnsi="Aptos"/>
                <w:b/>
                <w:sz w:val="19"/>
              </w:rPr>
              <w:t>Week 2 Focus</w:t>
            </w:r>
          </w:p>
        </w:tc>
        <w:tc>
          <w:tcPr>
            <w:tcW w:type="dxa" w:w="5040"/>
            <w:vAlign w:val="center"/>
          </w:tcPr>
          <w:p>
            <w:r/>
            <w:r>
              <w:rPr>
                <w:rFonts w:ascii="Aptos" w:hAnsi="Aptos"/>
                <w:b w:val="0"/>
                <w:sz w:val="19"/>
              </w:rPr>
              <w:t>Collection simulation, cleaning, missing values, outliers, encoding, scaling</w:t>
            </w:r>
          </w:p>
        </w:tc>
      </w:tr>
    </w:tbl>
    <w:p>
      <w:r>
        <w:br w:type="page"/>
      </w:r>
    </w:p>
    <w:p>
      <w:pPr>
        <w:pStyle w:val="Heading1"/>
      </w:pPr>
      <w:r>
        <w:t>1. Introduction</w:t>
      </w:r>
    </w:p>
    <w:p>
      <w:r>
        <w:t>Data quality is a critical foundation for logistics analytics. Delivery records can contain missing values, duplicate transactions, inconsistent category names, incorrect data types, extreme values, and differently scaled numerical variables. If these issues are not handled before analysis, KPI calculations and machine-learning results may be misleading.</w:t>
      </w:r>
    </w:p>
    <w:p>
      <w:r>
        <w:t>This Week 2 task develops a practical preprocessing pipeline for the logistics scenario introduced in Week 1. The reference scenario is an e-commerce distribution operation that monitors shipment performance and delivery delays across regions, products, customers, and shipping modes. The goal is to prepare a reliable analytical dataset that can be used later for exploratory analysis and predictive modeling.</w:t>
      </w:r>
    </w:p>
    <w:p>
      <w:pPr>
        <w:pStyle w:val="Heading1"/>
      </w:pPr>
      <w:r>
        <w:t>2. Data Collection Simulation</w:t>
      </w:r>
    </w:p>
    <w:p>
      <w:pPr>
        <w:pStyle w:val="Heading2"/>
      </w:pPr>
      <w:r>
        <w:t>2.1 Reference Dataset</w:t>
      </w:r>
    </w:p>
    <w:p>
      <w:r>
        <w:t>The DataCo SMART Supply Chain dataset is selected as the reference public dataset. It contains supply-chain and commercial distribution information that can support analysis of orders, products, customers, shipping modes, delivery status, shipping duration, regions, sales, and related fields.</w:t>
      </w:r>
    </w:p>
    <w:p>
      <w:r>
        <w:t>For this internship exercise, data collection is simulated as if the logistics organization exported historical order and shipment records from its operational systems. The dataset is first downloaded from its public source and then treated as a raw input file. The raw file is preserved separately so that every cleaning decision can be reproduced.</w:t>
      </w:r>
    </w:p>
    <w:p>
      <w:pPr>
        <w:pStyle w:val="Heading2"/>
      </w:pPr>
      <w:r>
        <w:t>2.2 Data Collection Procedure</w:t>
      </w:r>
    </w:p>
    <w:p>
      <w:pPr>
        <w:pStyle w:val="ListNumber"/>
        <w:spacing w:after="40"/>
      </w:pPr>
      <w:r>
        <w:t>Identify the public dataset and record its source and license information.</w:t>
      </w:r>
    </w:p>
    <w:p>
      <w:pPr>
        <w:pStyle w:val="ListNumber"/>
        <w:spacing w:after="40"/>
      </w:pPr>
      <w:r>
        <w:t>Download the raw CSV file without modifying the original file.</w:t>
      </w:r>
    </w:p>
    <w:p>
      <w:pPr>
        <w:pStyle w:val="ListNumber"/>
        <w:spacing w:after="40"/>
      </w:pPr>
      <w:r>
        <w:t>Create a working copy for preprocessing.</w:t>
      </w:r>
    </w:p>
    <w:p>
      <w:pPr>
        <w:pStyle w:val="ListNumber"/>
        <w:spacing w:after="40"/>
      </w:pPr>
      <w:r>
        <w:t>Inspect the columns, data types, number of records, missing values, and unique categories.</w:t>
      </w:r>
    </w:p>
    <w:p>
      <w:pPr>
        <w:pStyle w:val="ListNumber"/>
        <w:spacing w:after="40"/>
      </w:pPr>
      <w:r>
        <w:t>Document assumptions about dates, categorical values, numeric fields, and the meaning of operational variables.</w:t>
      </w:r>
    </w:p>
    <w:p>
      <w:pPr>
        <w:pStyle w:val="ListNumber"/>
        <w:spacing w:after="40"/>
      </w:pPr>
      <w:r>
        <w:t>Save the cleaned dataset as a separate output so the raw source remains unchanged.</w:t>
      </w:r>
    </w:p>
    <w:p>
      <w:pPr>
        <w:pStyle w:val="Heading2"/>
      </w:pPr>
      <w:r>
        <w:t>2.3 Expected Data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Data Category</w:t>
            </w:r>
          </w:p>
        </w:tc>
        <w:tc>
          <w:tcPr>
            <w:tcW w:type="dxa" w:w="3360"/>
            <w:vAlign w:val="center"/>
            <w:shd w:fill="D9EAF7"/>
          </w:tcPr>
          <w:p>
            <w:r/>
            <w:r>
              <w:rPr>
                <w:rFonts w:ascii="Aptos" w:hAnsi="Aptos"/>
                <w:b/>
                <w:sz w:val="19"/>
              </w:rPr>
              <w:t>Examples</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val="0"/>
                <w:sz w:val="19"/>
              </w:rPr>
              <w:t>Order information</w:t>
            </w:r>
          </w:p>
        </w:tc>
        <w:tc>
          <w:tcPr>
            <w:tcW w:type="dxa" w:w="3360"/>
            <w:vAlign w:val="center"/>
          </w:tcPr>
          <w:p>
            <w:r/>
            <w:r>
              <w:rPr>
                <w:rFonts w:ascii="Aptos" w:hAnsi="Aptos"/>
                <w:b w:val="0"/>
                <w:sz w:val="19"/>
              </w:rPr>
              <w:t>Order ID, order date, quantity</w:t>
            </w:r>
          </w:p>
        </w:tc>
        <w:tc>
          <w:tcPr>
            <w:tcW w:type="dxa" w:w="3360"/>
            <w:vAlign w:val="center"/>
          </w:tcPr>
          <w:p>
            <w:r/>
            <w:r>
              <w:rPr>
                <w:rFonts w:ascii="Aptos" w:hAnsi="Aptos"/>
                <w:b w:val="0"/>
                <w:sz w:val="19"/>
              </w:rPr>
              <w:t>Measure demand and transaction activity.</w:t>
            </w:r>
          </w:p>
        </w:tc>
      </w:tr>
      <w:tr>
        <w:tc>
          <w:tcPr>
            <w:tcW w:type="dxa" w:w="3360"/>
            <w:vAlign w:val="center"/>
          </w:tcPr>
          <w:p>
            <w:r/>
            <w:r>
              <w:rPr>
                <w:rFonts w:ascii="Aptos" w:hAnsi="Aptos"/>
                <w:b w:val="0"/>
                <w:sz w:val="19"/>
              </w:rPr>
              <w:t>Shipping information</w:t>
            </w:r>
          </w:p>
        </w:tc>
        <w:tc>
          <w:tcPr>
            <w:tcW w:type="dxa" w:w="3360"/>
            <w:vAlign w:val="center"/>
          </w:tcPr>
          <w:p>
            <w:r/>
            <w:r>
              <w:rPr>
                <w:rFonts w:ascii="Aptos" w:hAnsi="Aptos"/>
                <w:b w:val="0"/>
                <w:sz w:val="19"/>
              </w:rPr>
              <w:t>Shipping mode, scheduled/actual shipping days</w:t>
            </w:r>
          </w:p>
        </w:tc>
        <w:tc>
          <w:tcPr>
            <w:tcW w:type="dxa" w:w="3360"/>
            <w:vAlign w:val="center"/>
          </w:tcPr>
          <w:p>
            <w:r/>
            <w:r>
              <w:rPr>
                <w:rFonts w:ascii="Aptos" w:hAnsi="Aptos"/>
                <w:b w:val="0"/>
                <w:sz w:val="19"/>
              </w:rPr>
              <w:t>Analyze transportation performance.</w:t>
            </w:r>
          </w:p>
        </w:tc>
      </w:tr>
      <w:tr>
        <w:tc>
          <w:tcPr>
            <w:tcW w:type="dxa" w:w="3360"/>
            <w:vAlign w:val="center"/>
          </w:tcPr>
          <w:p>
            <w:r/>
            <w:r>
              <w:rPr>
                <w:rFonts w:ascii="Aptos" w:hAnsi="Aptos"/>
                <w:b w:val="0"/>
                <w:sz w:val="19"/>
              </w:rPr>
              <w:t>Delivery information</w:t>
            </w:r>
          </w:p>
        </w:tc>
        <w:tc>
          <w:tcPr>
            <w:tcW w:type="dxa" w:w="3360"/>
            <w:vAlign w:val="center"/>
          </w:tcPr>
          <w:p>
            <w:r/>
            <w:r>
              <w:rPr>
                <w:rFonts w:ascii="Aptos" w:hAnsi="Aptos"/>
                <w:b w:val="0"/>
                <w:sz w:val="19"/>
              </w:rPr>
              <w:t>Delivery status, delivery-related fields</w:t>
            </w:r>
          </w:p>
        </w:tc>
        <w:tc>
          <w:tcPr>
            <w:tcW w:type="dxa" w:w="3360"/>
            <w:vAlign w:val="center"/>
          </w:tcPr>
          <w:p>
            <w:r/>
            <w:r>
              <w:rPr>
                <w:rFonts w:ascii="Aptos" w:hAnsi="Aptos"/>
                <w:b w:val="0"/>
                <w:sz w:val="19"/>
              </w:rPr>
              <w:t>Create late/on-time indicators.</w:t>
            </w:r>
          </w:p>
        </w:tc>
      </w:tr>
      <w:tr>
        <w:tc>
          <w:tcPr>
            <w:tcW w:type="dxa" w:w="3360"/>
            <w:vAlign w:val="center"/>
          </w:tcPr>
          <w:p>
            <w:r/>
            <w:r>
              <w:rPr>
                <w:rFonts w:ascii="Aptos" w:hAnsi="Aptos"/>
                <w:b w:val="0"/>
                <w:sz w:val="19"/>
              </w:rPr>
              <w:t>Product information</w:t>
            </w:r>
          </w:p>
        </w:tc>
        <w:tc>
          <w:tcPr>
            <w:tcW w:type="dxa" w:w="3360"/>
            <w:vAlign w:val="center"/>
          </w:tcPr>
          <w:p>
            <w:r/>
            <w:r>
              <w:rPr>
                <w:rFonts w:ascii="Aptos" w:hAnsi="Aptos"/>
                <w:b w:val="0"/>
                <w:sz w:val="19"/>
              </w:rPr>
              <w:t>Category, product name, product price</w:t>
            </w:r>
          </w:p>
        </w:tc>
        <w:tc>
          <w:tcPr>
            <w:tcW w:type="dxa" w:w="3360"/>
            <w:vAlign w:val="center"/>
          </w:tcPr>
          <w:p>
            <w:r/>
            <w:r>
              <w:rPr>
                <w:rFonts w:ascii="Aptos" w:hAnsi="Aptos"/>
                <w:b w:val="0"/>
                <w:sz w:val="19"/>
              </w:rPr>
              <w:t>Compare performance by product group.</w:t>
            </w:r>
          </w:p>
        </w:tc>
      </w:tr>
      <w:tr>
        <w:tc>
          <w:tcPr>
            <w:tcW w:type="dxa" w:w="3360"/>
            <w:vAlign w:val="center"/>
          </w:tcPr>
          <w:p>
            <w:r/>
            <w:r>
              <w:rPr>
                <w:rFonts w:ascii="Aptos" w:hAnsi="Aptos"/>
                <w:b w:val="0"/>
                <w:sz w:val="19"/>
              </w:rPr>
              <w:t>Customer/location</w:t>
            </w:r>
          </w:p>
        </w:tc>
        <w:tc>
          <w:tcPr>
            <w:tcW w:type="dxa" w:w="3360"/>
            <w:vAlign w:val="center"/>
          </w:tcPr>
          <w:p>
            <w:r/>
            <w:r>
              <w:rPr>
                <w:rFonts w:ascii="Aptos" w:hAnsi="Aptos"/>
                <w:b w:val="0"/>
                <w:sz w:val="19"/>
              </w:rPr>
              <w:t>Customer segment, city, state, region</w:t>
            </w:r>
          </w:p>
        </w:tc>
        <w:tc>
          <w:tcPr>
            <w:tcW w:type="dxa" w:w="3360"/>
            <w:vAlign w:val="center"/>
          </w:tcPr>
          <w:p>
            <w:r/>
            <w:r>
              <w:rPr>
                <w:rFonts w:ascii="Aptos" w:hAnsi="Aptos"/>
                <w:b w:val="0"/>
                <w:sz w:val="19"/>
              </w:rPr>
              <w:t>Identify geographic and customer patterns.</w:t>
            </w:r>
          </w:p>
        </w:tc>
      </w:tr>
      <w:tr>
        <w:tc>
          <w:tcPr>
            <w:tcW w:type="dxa" w:w="3360"/>
            <w:vAlign w:val="center"/>
          </w:tcPr>
          <w:p>
            <w:r/>
            <w:r>
              <w:rPr>
                <w:rFonts w:ascii="Aptos" w:hAnsi="Aptos"/>
                <w:b w:val="0"/>
                <w:sz w:val="19"/>
              </w:rPr>
              <w:t>Financial measures</w:t>
            </w:r>
          </w:p>
        </w:tc>
        <w:tc>
          <w:tcPr>
            <w:tcW w:type="dxa" w:w="3360"/>
            <w:vAlign w:val="center"/>
          </w:tcPr>
          <w:p>
            <w:r/>
            <w:r>
              <w:rPr>
                <w:rFonts w:ascii="Aptos" w:hAnsi="Aptos"/>
                <w:b w:val="0"/>
                <w:sz w:val="19"/>
              </w:rPr>
              <w:t>Sales, profit-related fields</w:t>
            </w:r>
          </w:p>
        </w:tc>
        <w:tc>
          <w:tcPr>
            <w:tcW w:type="dxa" w:w="3360"/>
            <w:vAlign w:val="center"/>
          </w:tcPr>
          <w:p>
            <w:r/>
            <w:r>
              <w:rPr>
                <w:rFonts w:ascii="Aptos" w:hAnsi="Aptos"/>
                <w:b w:val="0"/>
                <w:sz w:val="19"/>
              </w:rPr>
              <w:t>Study the relationship between service and financial outcomes.</w:t>
            </w:r>
          </w:p>
        </w:tc>
      </w:tr>
    </w:tbl>
    <w:p>
      <w:pPr>
        <w:pStyle w:val="Heading1"/>
      </w:pPr>
      <w:r>
        <w:t>3. Data Quality Assessment</w:t>
      </w:r>
    </w:p>
    <w:p>
      <w:r>
        <w:t>Before changing any values, the dataset should be profiled. The purpose is to distinguish genuine business variation from data-quality problems. The main checks in this project are completeness, uniqueness, consistency, validity, and numerical reasonableness.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Issue</w:t>
            </w:r>
          </w:p>
        </w:tc>
        <w:tc>
          <w:tcPr>
            <w:tcW w:type="dxa" w:w="3360"/>
            <w:vAlign w:val="center"/>
            <w:shd w:fill="D9EAF7"/>
          </w:tcPr>
          <w:p>
            <w:r/>
            <w:r>
              <w:rPr>
                <w:rFonts w:ascii="Aptos" w:hAnsi="Aptos"/>
                <w:b/>
                <w:sz w:val="19"/>
              </w:rPr>
              <w:t>Detection Method</w:t>
            </w:r>
          </w:p>
        </w:tc>
        <w:tc>
          <w:tcPr>
            <w:tcW w:type="dxa" w:w="3360"/>
            <w:vAlign w:val="center"/>
            <w:shd w:fill="D9EAF7"/>
          </w:tcPr>
          <w:p>
            <w:r/>
            <w:r>
              <w:rPr>
                <w:rFonts w:ascii="Aptos" w:hAnsi="Aptos"/>
                <w:b/>
                <w:sz w:val="19"/>
              </w:rPr>
              <w:t>Planned Treatment</w:t>
            </w:r>
          </w:p>
        </w:tc>
      </w:tr>
      <w:tr>
        <w:tc>
          <w:tcPr>
            <w:tcW w:type="dxa" w:w="3360"/>
            <w:vAlign w:val="center"/>
          </w:tcPr>
          <w:p>
            <w:r/>
            <w:r>
              <w:rPr>
                <w:rFonts w:ascii="Aptos" w:hAnsi="Aptos"/>
                <w:b w:val="0"/>
                <w:sz w:val="19"/>
              </w:rPr>
              <w:t>Missing values</w:t>
            </w:r>
          </w:p>
        </w:tc>
        <w:tc>
          <w:tcPr>
            <w:tcW w:type="dxa" w:w="3360"/>
            <w:vAlign w:val="center"/>
          </w:tcPr>
          <w:p>
            <w:r/>
            <w:r>
              <w:rPr>
                <w:rFonts w:ascii="Aptos" w:hAnsi="Aptos"/>
                <w:b w:val="0"/>
                <w:sz w:val="19"/>
              </w:rPr>
              <w:t>isna(), null counts, missingness percentage</w:t>
            </w:r>
          </w:p>
        </w:tc>
        <w:tc>
          <w:tcPr>
            <w:tcW w:type="dxa" w:w="3360"/>
            <w:vAlign w:val="center"/>
          </w:tcPr>
          <w:p>
            <w:r/>
            <w:r>
              <w:rPr>
                <w:rFonts w:ascii="Aptos" w:hAnsi="Aptos"/>
                <w:b w:val="0"/>
                <w:sz w:val="19"/>
              </w:rPr>
              <w:t>Impute where appropriate; remove records only when the field is essential and missingness cannot be handled safely.</w:t>
            </w:r>
          </w:p>
        </w:tc>
      </w:tr>
      <w:tr>
        <w:tc>
          <w:tcPr>
            <w:tcW w:type="dxa" w:w="3360"/>
            <w:vAlign w:val="center"/>
          </w:tcPr>
          <w:p>
            <w:r/>
            <w:r>
              <w:rPr>
                <w:rFonts w:ascii="Aptos" w:hAnsi="Aptos"/>
                <w:b w:val="0"/>
                <w:sz w:val="19"/>
              </w:rPr>
              <w:t>Duplicate records</w:t>
            </w:r>
          </w:p>
        </w:tc>
        <w:tc>
          <w:tcPr>
            <w:tcW w:type="dxa" w:w="3360"/>
            <w:vAlign w:val="center"/>
          </w:tcPr>
          <w:p>
            <w:r/>
            <w:r>
              <w:rPr>
                <w:rFonts w:ascii="Aptos" w:hAnsi="Aptos"/>
                <w:b w:val="0"/>
                <w:sz w:val="19"/>
              </w:rPr>
              <w:t>duplicated()</w:t>
            </w:r>
          </w:p>
        </w:tc>
        <w:tc>
          <w:tcPr>
            <w:tcW w:type="dxa" w:w="3360"/>
            <w:vAlign w:val="center"/>
          </w:tcPr>
          <w:p>
            <w:r/>
            <w:r>
              <w:rPr>
                <w:rFonts w:ascii="Aptos" w:hAnsi="Aptos"/>
                <w:b w:val="0"/>
                <w:sz w:val="19"/>
              </w:rPr>
              <w:t>Remove exact duplicates after checking whether repeated rows represent legitimate transactions.</w:t>
            </w:r>
          </w:p>
        </w:tc>
      </w:tr>
      <w:tr>
        <w:tc>
          <w:tcPr>
            <w:tcW w:type="dxa" w:w="3360"/>
            <w:vAlign w:val="center"/>
          </w:tcPr>
          <w:p>
            <w:r/>
            <w:r>
              <w:rPr>
                <w:rFonts w:ascii="Aptos" w:hAnsi="Aptos"/>
                <w:b w:val="0"/>
                <w:sz w:val="19"/>
              </w:rPr>
              <w:t>Wrong data types</w:t>
            </w:r>
          </w:p>
        </w:tc>
        <w:tc>
          <w:tcPr>
            <w:tcW w:type="dxa" w:w="3360"/>
            <w:vAlign w:val="center"/>
          </w:tcPr>
          <w:p>
            <w:r/>
            <w:r>
              <w:rPr>
                <w:rFonts w:ascii="Aptos" w:hAnsi="Aptos"/>
                <w:b w:val="0"/>
                <w:sz w:val="19"/>
              </w:rPr>
              <w:t>info(), dtype inspection</w:t>
            </w:r>
          </w:p>
        </w:tc>
        <w:tc>
          <w:tcPr>
            <w:tcW w:type="dxa" w:w="3360"/>
            <w:vAlign w:val="center"/>
          </w:tcPr>
          <w:p>
            <w:r/>
            <w:r>
              <w:rPr>
                <w:rFonts w:ascii="Aptos" w:hAnsi="Aptos"/>
                <w:b w:val="0"/>
                <w:sz w:val="19"/>
              </w:rPr>
              <w:t>Convert dates to datetime and numeric fields to numeric types.</w:t>
            </w:r>
          </w:p>
        </w:tc>
      </w:tr>
      <w:tr>
        <w:tc>
          <w:tcPr>
            <w:tcW w:type="dxa" w:w="3360"/>
            <w:vAlign w:val="center"/>
          </w:tcPr>
          <w:p>
            <w:r/>
            <w:r>
              <w:rPr>
                <w:rFonts w:ascii="Aptos" w:hAnsi="Aptos"/>
                <w:b w:val="0"/>
                <w:sz w:val="19"/>
              </w:rPr>
              <w:t>Inconsistent categories</w:t>
            </w:r>
          </w:p>
        </w:tc>
        <w:tc>
          <w:tcPr>
            <w:tcW w:type="dxa" w:w="3360"/>
            <w:vAlign w:val="center"/>
          </w:tcPr>
          <w:p>
            <w:r/>
            <w:r>
              <w:rPr>
                <w:rFonts w:ascii="Aptos" w:hAnsi="Aptos"/>
                <w:b w:val="0"/>
                <w:sz w:val="19"/>
              </w:rPr>
              <w:t>unique(), value_counts()</w:t>
            </w:r>
          </w:p>
        </w:tc>
        <w:tc>
          <w:tcPr>
            <w:tcW w:type="dxa" w:w="3360"/>
            <w:vAlign w:val="center"/>
          </w:tcPr>
          <w:p>
            <w:r/>
            <w:r>
              <w:rPr>
                <w:rFonts w:ascii="Aptos" w:hAnsi="Aptos"/>
                <w:b w:val="0"/>
                <w:sz w:val="19"/>
              </w:rPr>
              <w:t>Standardize capitalization, whitespace, spelling, and category labels.</w:t>
            </w:r>
          </w:p>
        </w:tc>
      </w:tr>
      <w:tr>
        <w:tc>
          <w:tcPr>
            <w:tcW w:type="dxa" w:w="3360"/>
            <w:vAlign w:val="center"/>
          </w:tcPr>
          <w:p>
            <w:r/>
            <w:r>
              <w:rPr>
                <w:rFonts w:ascii="Aptos" w:hAnsi="Aptos"/>
                <w:b w:val="0"/>
                <w:sz w:val="19"/>
              </w:rPr>
              <w:t>Outliers</w:t>
            </w:r>
          </w:p>
        </w:tc>
        <w:tc>
          <w:tcPr>
            <w:tcW w:type="dxa" w:w="3360"/>
            <w:vAlign w:val="center"/>
          </w:tcPr>
          <w:p>
            <w:r/>
            <w:r>
              <w:rPr>
                <w:rFonts w:ascii="Aptos" w:hAnsi="Aptos"/>
                <w:b w:val="0"/>
                <w:sz w:val="19"/>
              </w:rPr>
              <w:t>IQR, boxplots, domain limits</w:t>
            </w:r>
          </w:p>
        </w:tc>
        <w:tc>
          <w:tcPr>
            <w:tcW w:type="dxa" w:w="3360"/>
            <w:vAlign w:val="center"/>
          </w:tcPr>
          <w:p>
            <w:r/>
            <w:r>
              <w:rPr>
                <w:rFonts w:ascii="Aptos" w:hAnsi="Aptos"/>
                <w:b w:val="0"/>
                <w:sz w:val="19"/>
              </w:rPr>
              <w:t>Investigate first; cap, transform, exclude, or retain based on business meaning.</w:t>
            </w:r>
          </w:p>
        </w:tc>
      </w:tr>
      <w:tr>
        <w:tc>
          <w:tcPr>
            <w:tcW w:type="dxa" w:w="3360"/>
            <w:vAlign w:val="center"/>
          </w:tcPr>
          <w:p>
            <w:r/>
            <w:r>
              <w:rPr>
                <w:rFonts w:ascii="Aptos" w:hAnsi="Aptos"/>
                <w:b w:val="0"/>
                <w:sz w:val="19"/>
              </w:rPr>
              <w:t>Different numerical scales</w:t>
            </w:r>
          </w:p>
        </w:tc>
        <w:tc>
          <w:tcPr>
            <w:tcW w:type="dxa" w:w="3360"/>
            <w:vAlign w:val="center"/>
          </w:tcPr>
          <w:p>
            <w:r/>
            <w:r>
              <w:rPr>
                <w:rFonts w:ascii="Aptos" w:hAnsi="Aptos"/>
                <w:b w:val="0"/>
                <w:sz w:val="19"/>
              </w:rPr>
              <w:t>describe(), standard deviation/range</w:t>
            </w:r>
          </w:p>
        </w:tc>
        <w:tc>
          <w:tcPr>
            <w:tcW w:type="dxa" w:w="3360"/>
            <w:vAlign w:val="center"/>
          </w:tcPr>
          <w:p>
            <w:r/>
            <w:r>
              <w:rPr>
                <w:rFonts w:ascii="Aptos" w:hAnsi="Aptos"/>
                <w:b w:val="0"/>
                <w:sz w:val="19"/>
              </w:rPr>
              <w:t>Use standardization or min-max scaling for algorithms sensitive to feature magnitude.</w:t>
            </w:r>
          </w:p>
        </w:tc>
      </w:tr>
      <w:tr>
        <w:tc>
          <w:tcPr>
            <w:tcW w:type="dxa" w:w="3360"/>
            <w:vAlign w:val="center"/>
          </w:tcPr>
          <w:p>
            <w:r/>
            <w:r>
              <w:rPr>
                <w:rFonts w:ascii="Aptos" w:hAnsi="Aptos"/>
                <w:b w:val="0"/>
                <w:sz w:val="19"/>
              </w:rPr>
              <w:t>Invalid values</w:t>
            </w:r>
          </w:p>
        </w:tc>
        <w:tc>
          <w:tcPr>
            <w:tcW w:type="dxa" w:w="3360"/>
            <w:vAlign w:val="center"/>
          </w:tcPr>
          <w:p>
            <w:r/>
            <w:r>
              <w:rPr>
                <w:rFonts w:ascii="Aptos" w:hAnsi="Aptos"/>
                <w:b w:val="0"/>
                <w:sz w:val="19"/>
              </w:rPr>
              <w:t>Range/domain checks</w:t>
            </w:r>
          </w:p>
        </w:tc>
        <w:tc>
          <w:tcPr>
            <w:tcW w:type="dxa" w:w="3360"/>
            <w:vAlign w:val="center"/>
          </w:tcPr>
          <w:p>
            <w:r/>
            <w:r>
              <w:rPr>
                <w:rFonts w:ascii="Aptos" w:hAnsi="Aptos"/>
                <w:b w:val="0"/>
                <w:sz w:val="19"/>
              </w:rPr>
              <w:t>Correct when a reliable rule exists; otherwise flag for review rather than inventing a value.</w:t>
            </w:r>
          </w:p>
        </w:tc>
      </w:tr>
    </w:tbl>
    <w:p>
      <w:pPr>
        <w:pStyle w:val="Heading1"/>
      </w:pPr>
      <w:r>
        <w:t>4. Data Cleaning and Preprocessing Methodology</w:t>
      </w:r>
    </w:p>
    <w:p>
      <w:pPr>
        <w:pStyle w:val="Heading2"/>
      </w:pPr>
      <w:r>
        <w:t>4.1 Initial Inspection</w:t>
      </w:r>
    </w:p>
    <w:p>
      <w:r>
        <w:t>The first step is to understand the raw data before performing transformations. Shape, column names, data types, missingness, duplicate count, and basic statistics are recorded.</w:t>
      </w:r>
    </w:p>
    <w:p>
      <w:pPr>
        <w:spacing w:before="60" w:after="120"/>
        <w:ind w:left="360" w:right="360"/>
      </w:pPr>
      <w:r>
        <w:rPr>
          <w:rFonts w:ascii="Consolas" w:hAnsi="Consolas"/>
          <w:sz w:val="16"/>
        </w:rPr>
        <w:t>import pandas as pd</w:t>
        <w:br/>
        <w:t>import numpy as np</w:t>
        <w:br/>
        <w:br/>
        <w:t>df = pd.read_csv("DataCoSupplyChainDataset.csv")</w:t>
        <w:br/>
        <w:br/>
        <w:t>print("Rows and columns:", df.shape)</w:t>
        <w:br/>
        <w:t>print(df.head())</w:t>
        <w:br/>
        <w:t>print(df.info())</w:t>
        <w:br/>
        <w:br/>
        <w:t>missing = df.isna().sum()</w:t>
        <w:br/>
        <w:t>missing_pct = (missing / len(df) * 100).sort_values(ascending=False)</w:t>
        <w:br/>
        <w:br/>
        <w:t>print("\nMissing-value percentage:")</w:t>
        <w:br/>
        <w:t>print(missing_pct.head(20))</w:t>
        <w:br/>
        <w:br/>
        <w:t>print("\nDuplicate rows:", df.duplicated().sum())</w:t>
        <w:br/>
        <w:t>print("\nNumeric summary:")</w:t>
        <w:br/>
        <w:t>print(df.describe(include="all").transpose().head(20))</w:t>
      </w:r>
    </w:p>
    <w:p>
      <w:pPr>
        <w:pStyle w:val="Heading2"/>
      </w:pPr>
      <w:r>
        <w:t>4.2 Handling Missing Values</w:t>
      </w:r>
    </w:p>
    <w:p>
      <w:r>
        <w:t>Missing values should not automatically be replaced with zero because zero may have a real business meaning. The treatment depends on the variable. For numerical measurements, median imputation is a robust baseline when the distribution contains outliers. For categorical variables, the most frequent category can be used when missingness is small and the field is required for analysis. A separate category such as 'Unknown' can be preferable when missingness itself may contain information.</w:t>
      </w:r>
    </w:p>
    <w:p>
      <w:pPr>
        <w:spacing w:before="60" w:after="120"/>
        <w:ind w:left="360" w:right="360"/>
      </w:pPr>
      <w:r>
        <w:rPr>
          <w:rFonts w:ascii="Consolas" w:hAnsi="Consolas"/>
          <w:sz w:val="16"/>
        </w:rPr>
        <w:t># Numerical example: median imputation</w:t>
        <w:br/>
        <w:t>numeric_cols = df.select_dtypes(include=np.number).columns</w:t>
        <w:br/>
        <w:t>df[numeric_cols] = df[numeric_cols].apply(</w:t>
        <w:br/>
        <w:t xml:space="preserve">    lambda col: col.fillna(col.median())</w:t>
        <w:br/>
        <w:t>)</w:t>
        <w:br/>
        <w:br/>
        <w:t># Categorical example: explicit Unknown category</w:t>
        <w:br/>
        <w:t>categorical_cols = df.select_dtypes(include="object").columns</w:t>
        <w:br/>
        <w:t>df[categorical_cols] = df[categorical_cols].fillna("Unknown")</w:t>
      </w:r>
    </w:p>
    <w:p>
      <w:r>
        <w:t>In a production setting, the imputation values should be learned from the training data only and then applied to validation/test data. This prevents information leakage.</w:t>
      </w:r>
    </w:p>
    <w:p>
      <w:pPr>
        <w:pStyle w:val="Heading2"/>
      </w:pPr>
      <w:r>
        <w:t>4.3 Removing Duplicate Records</w:t>
      </w:r>
    </w:p>
    <w:p>
      <w:r>
        <w:t>Exact duplicate rows can inflate shipment counts and distort KPIs. Duplicates will be checked before removal. If repeated rows represent legitimate line items or multiple events for the same order, they should not be removed simply because an order ID appears more than once.</w:t>
      </w:r>
    </w:p>
    <w:p>
      <w:pPr>
        <w:spacing w:before="60" w:after="120"/>
        <w:ind w:left="360" w:right="360"/>
      </w:pPr>
      <w:r>
        <w:rPr>
          <w:rFonts w:ascii="Consolas" w:hAnsi="Consolas"/>
          <w:sz w:val="16"/>
        </w:rPr>
        <w:t>duplicate_count = df.duplicated().sum()</w:t>
        <w:br/>
        <w:t>print("Duplicate rows:", duplicate_count)</w:t>
        <w:br/>
        <w:br/>
        <w:t>df = df.drop_duplicates().copy()</w:t>
      </w:r>
    </w:p>
    <w:p>
      <w:pPr>
        <w:pStyle w:val="Heading2"/>
      </w:pPr>
      <w:r>
        <w:t>4.4 Data Type and Format Standardization</w:t>
      </w:r>
    </w:p>
    <w:p>
      <w:r>
        <w:t>Dates should be converted to datetime so that durations and time-based features can be calculated reliably. Numeric columns stored as text should be converted using errors='coerce', followed by a review of values that could not be converted.</w:t>
      </w:r>
    </w:p>
    <w:p>
      <w:pPr>
        <w:spacing w:before="60" w:after="120"/>
        <w:ind w:left="360" w:right="360"/>
      </w:pPr>
      <w:r>
        <w:rPr>
          <w:rFonts w:ascii="Consolas" w:hAnsi="Consolas"/>
          <w:sz w:val="16"/>
        </w:rPr>
        <w:t># Example date conversion</w:t>
        <w:br/>
        <w:t>if "order date (DateOrders)" in df.columns:</w:t>
        <w:br/>
        <w:t xml:space="preserve">    df["order date (DateOrders)"] = pd.to_datetime(</w:t>
        <w:br/>
        <w:t xml:space="preserve">        df["order date (DateOrders)"], errors="coerce"</w:t>
        <w:br/>
        <w:t xml:space="preserve">    )</w:t>
        <w:br/>
        <w:br/>
        <w:t># Example numeric conversion</w:t>
        <w:br/>
        <w:t>numeric_candidates = [</w:t>
        <w:br/>
        <w:t xml:space="preserve">    "Sales per customer",</w:t>
        <w:br/>
        <w:t xml:space="preserve">    "Order Item Quantity",</w:t>
        <w:br/>
        <w:t xml:space="preserve">    "Days for shipping (real)"</w:t>
        <w:br/>
        <w:t>]</w:t>
        <w:br/>
        <w:br/>
        <w:t>for col in numeric_candidates:</w:t>
        <w:br/>
        <w:t xml:space="preserve">    if col in df.columns:</w:t>
        <w:br/>
        <w:t xml:space="preserve">        df[col] = pd.to_numeric(df[col], errors="coerce")</w:t>
      </w:r>
    </w:p>
    <w:p>
      <w:pPr>
        <w:pStyle w:val="Heading2"/>
      </w:pPr>
      <w:r>
        <w:t>4.5 Standardizing Categorical Values</w:t>
      </w:r>
    </w:p>
    <w:p>
      <w:r>
        <w:t>Categorical labels may contain accidental spaces or inconsistent capitalization. Standardization prevents the same business category from being treated as multiple categories.</w:t>
      </w:r>
    </w:p>
    <w:p>
      <w:pPr>
        <w:spacing w:before="60" w:after="120"/>
        <w:ind w:left="360" w:right="360"/>
      </w:pPr>
      <w:r>
        <w:rPr>
          <w:rFonts w:ascii="Consolas" w:hAnsi="Consolas"/>
          <w:sz w:val="16"/>
        </w:rPr>
        <w:t># Example categorical cleaning</w:t>
        <w:br/>
        <w:t>if "Shipping Mode" in df.columns:</w:t>
        <w:br/>
        <w:t xml:space="preserve">    df["Shipping Mode"] = (</w:t>
        <w:br/>
        <w:t xml:space="preserve">        df["Shipping Mode"]</w:t>
        <w:br/>
        <w:t xml:space="preserve">        .astype("string")</w:t>
        <w:br/>
        <w:t xml:space="preserve">        .str.strip()</w:t>
        <w:br/>
        <w:t xml:space="preserve">        .str.title()</w:t>
        <w:br/>
        <w:t xml:space="preserve">    )</w:t>
        <w:br/>
        <w:br/>
        <w:t>if "Order Region" in df.columns:</w:t>
        <w:br/>
        <w:t xml:space="preserve">    df["Order Region"] = (</w:t>
        <w:br/>
        <w:t xml:space="preserve">        df["Order Region"]</w:t>
        <w:br/>
        <w:t xml:space="preserve">        .astype("string")</w:t>
        <w:br/>
        <w:t xml:space="preserve">        .str.strip()</w:t>
        <w:br/>
        <w:t xml:space="preserve">    )</w:t>
      </w:r>
    </w:p>
    <w:p>
      <w:pPr>
        <w:pStyle w:val="Heading1"/>
      </w:pPr>
      <w:r>
        <w:t>5. Outlier Detection and Treatment</w:t>
      </w:r>
    </w:p>
    <w:p>
      <w:r>
        <w:t>Outliers are observations that are unusually far from the majority of values. In logistics, an extreme shipping time may be a genuine operational incident rather than a data error. Therefore, an outlier should be investigated before it is removed.</w:t>
      </w:r>
    </w:p>
    <w:p>
      <w:r>
        <w:t>The Interquartile Range (IQR) method provides a simple statistical screening rule. Values below Q1 − 1.5×IQR or above Q3 + 1.5×IQR are flagged. The flagged records are reviewed against business context. If they are valid delays, they should generally be retained because they are important to logistics performance.</w:t>
      </w:r>
    </w:p>
    <w:p>
      <w:pPr>
        <w:spacing w:before="60" w:after="120"/>
        <w:ind w:left="360" w:right="360"/>
      </w:pPr>
      <w:r>
        <w:rPr>
          <w:rFonts w:ascii="Consolas" w:hAnsi="Consolas"/>
          <w:sz w:val="16"/>
        </w:rPr>
        <w:t>def iqr_outlier_mask(series):</w:t>
        <w:br/>
        <w:t xml:space="preserve">    q1 = series.quantile(0.25)</w:t>
        <w:br/>
        <w:t xml:space="preserve">    q3 = series.quantile(0.75)</w:t>
        <w:br/>
        <w:t xml:space="preserve">    iqr = q3 - q1</w:t>
        <w:br/>
        <w:t xml:space="preserve">    lower = q1 - 1.5 * iqr</w:t>
        <w:br/>
        <w:t xml:space="preserve">    upper = q3 + 1.5 * iqr</w:t>
        <w:br/>
        <w:t xml:space="preserve">    return (series &lt; lower) | (series &gt; upper)</w:t>
        <w:br/>
        <w:br/>
        <w:t>col = "Days for shipping (real)"</w:t>
        <w:br/>
        <w:br/>
        <w:t>if col in df.columns:</w:t>
        <w:br/>
        <w:t xml:space="preserve">    mask = iqr_outlier_mask(df[col].dropna())</w:t>
        <w:br/>
        <w:t xml:space="preserve">    print("Potential outliers:", mask.sum())</w:t>
      </w:r>
    </w:p>
    <w:p>
      <w:r>
        <w:t>Possible treatments include retaining valid operational extremes, correcting obvious entry errors, capping extreme values when appropriate, or applying a transformation. The chosen treatment must be documented because aggressive outlier removal can hide the very delivery failures the project is trying to understand.</w:t>
      </w:r>
    </w:p>
    <w:p>
      <w:pPr>
        <w:pStyle w:val="Heading1"/>
      </w:pPr>
      <w:r>
        <w:t>6. Normalization and Feature Scaling</w:t>
      </w:r>
    </w:p>
    <w:p>
      <w:r>
        <w:t>Logistics datasets often contain variables with very different numerical ranges. For example, sales may be measured in hundreds or thousands while quantities may be single-digit values. Algorithms such as K-Means use distances and can therefore be influenced by large-scale variables.</w:t>
      </w:r>
    </w:p>
    <w:p>
      <w:r>
        <w:t>StandardScaler is proposed for clustering and other scale-sensitive algorithms. It transforms a numerical feature approximately to mean 0 and standard deviation 1. MinMaxScaler is another option when values need to be mapped to a fixed range such as 0 to 1.</w:t>
      </w:r>
    </w:p>
    <w:p>
      <w:pPr>
        <w:spacing w:before="60" w:after="120"/>
        <w:ind w:left="360" w:right="360"/>
      </w:pPr>
      <w:r>
        <w:rPr>
          <w:rFonts w:ascii="Consolas" w:hAnsi="Consolas"/>
          <w:sz w:val="16"/>
        </w:rPr>
        <w:t>from sklearn.preprocessing import StandardScaler, MinMaxScaler</w:t>
        <w:br/>
        <w:br/>
        <w:t>scale_cols = [</w:t>
        <w:br/>
        <w:t xml:space="preserve">    "Sales per customer",</w:t>
        <w:br/>
        <w:t xml:space="preserve">    "Order Item Quantity",</w:t>
        <w:br/>
        <w:t xml:space="preserve">    "Days for shipping (real)"</w:t>
        <w:br/>
        <w:t>]</w:t>
        <w:br/>
        <w:br/>
        <w:t>scale_cols = [c for c in scale_cols if c in df.columns]</w:t>
        <w:br/>
        <w:br/>
        <w:t>scaler = StandardScaler()</w:t>
        <w:br/>
        <w:t>df_scaled = df.copy()</w:t>
        <w:br/>
        <w:t>df_scaled[scale_cols] = scaler.fit_transform(df[scale_cols])</w:t>
        <w:br/>
        <w:br/>
        <w:t>print(df_scaled[scale_cols].head())</w:t>
      </w:r>
    </w:p>
    <w:p>
      <w:r>
        <w:t>Scaling is not required for every model. Tree-based models such as Random Forest generally do not require feature scaling, while distance-based clustering benefits strongly from it.</w:t>
      </w:r>
    </w:p>
    <w:p>
      <w:pPr>
        <w:pStyle w:val="Heading1"/>
      </w:pPr>
      <w:r>
        <w:t>7. Categorical Encoding</w:t>
      </w:r>
    </w:p>
    <w:p>
      <w:r>
        <w:t>Machine-learning algorithms usually require numerical inputs. Categorical variables such as shipping mode and region can be converted using one-hot encoding. This creates binary indicator columns without imposing an artificial numerical order.</w:t>
      </w:r>
    </w:p>
    <w:p>
      <w:pPr>
        <w:spacing w:before="60" w:after="120"/>
        <w:ind w:left="360" w:right="360"/>
      </w:pPr>
      <w:r>
        <w:rPr>
          <w:rFonts w:ascii="Consolas" w:hAnsi="Consolas"/>
          <w:sz w:val="16"/>
        </w:rPr>
        <w:t>from sklearn.preprocessing import OneHotEncoder</w:t>
        <w:br/>
        <w:br/>
        <w:t>categorical_features = [</w:t>
        <w:br/>
        <w:t xml:space="preserve">    "Shipping Mode",</w:t>
        <w:br/>
        <w:t xml:space="preserve">    "Order Region",</w:t>
        <w:br/>
        <w:t xml:space="preserve">    "Category Name"</w:t>
        <w:br/>
        <w:t>]</w:t>
        <w:br/>
        <w:br/>
        <w:t>categorical_features = [</w:t>
        <w:br/>
        <w:t xml:space="preserve">    c for c in categorical_features if c in df.columns</w:t>
        <w:br/>
        <w:t>]</w:t>
        <w:br/>
        <w:br/>
        <w:t>encoder = OneHotEncoder(</w:t>
        <w:br/>
        <w:t xml:space="preserve">    handle_unknown="ignore",</w:t>
        <w:br/>
        <w:t xml:space="preserve">    sparse_output=False</w:t>
        <w:br/>
        <w:t>)</w:t>
        <w:br/>
        <w:br/>
        <w:t>encoded = encoder.fit_transform(df[categorical_features])</w:t>
        <w:br/>
        <w:br/>
        <w:t>encoded_df = pd.DataFrame(</w:t>
        <w:br/>
        <w:t xml:space="preserve">    encoded,</w:t>
        <w:br/>
        <w:t xml:space="preserve">    columns=encoder.get_feature_names_out(categorical_features),</w:t>
        <w:br/>
        <w:t xml:space="preserve">    index=df.index</w:t>
        <w:br/>
        <w:t>)</w:t>
        <w:br/>
        <w:br/>
        <w:t>print(encoded_df.head())</w:t>
      </w:r>
    </w:p>
    <w:p>
      <w:pPr>
        <w:pStyle w:val="Heading1"/>
      </w:pPr>
      <w:r>
        <w:t>8. Recommended Preprocessing Pipeline</w:t>
      </w:r>
    </w:p>
    <w:p>
      <w:r>
        <w:t>For a repeatable workflow, preprocessing should be organized as a pipeline rather than a collection of manual edits. The sequence below is recommended for the later predictive-modeling stage.</w:t>
      </w:r>
    </w:p>
    <w:p>
      <w:pPr>
        <w:spacing w:before="60" w:after="120"/>
        <w:ind w:left="360" w:right="360"/>
      </w:pPr>
      <w:r>
        <w:rPr>
          <w:rFonts w:ascii="Consolas" w:hAnsi="Consolas"/>
          <w:sz w:val="16"/>
        </w:rPr>
        <w:t>RAW CSV</w:t>
        <w:br/>
        <w:t xml:space="preserve">   ↓</w:t>
        <w:br/>
        <w:t>Schema and quality checks</w:t>
        <w:br/>
        <w:t xml:space="preserve">   ↓</w:t>
        <w:br/>
        <w:t>Data type conversion</w:t>
        <w:br/>
        <w:t xml:space="preserve">   ↓</w:t>
        <w:br/>
        <w:t>Duplicate handling</w:t>
        <w:br/>
        <w:t xml:space="preserve">   ↓</w:t>
        <w:br/>
        <w:t>Missing-value treatment</w:t>
        <w:br/>
        <w:t xml:space="preserve">   ↓</w:t>
        <w:br/>
        <w:t>Categorical standardization</w:t>
        <w:br/>
        <w:t xml:space="preserve">   ↓</w:t>
        <w:br/>
        <w:t>Outlier investigation</w:t>
        <w:br/>
        <w:t xml:space="preserve">   ↓</w:t>
        <w:br/>
        <w:t>Feature engineering</w:t>
        <w:br/>
        <w:t xml:space="preserve">   ↓</w:t>
        <w:br/>
        <w:t>Train/test split</w:t>
        <w:br/>
        <w:t xml:space="preserve">   ↓</w:t>
        <w:br/>
        <w:t>Fit preprocessing on training data only</w:t>
        <w:br/>
        <w:t xml:space="preserve">   ↓</w:t>
        <w:br/>
        <w:t>Encoding + scaling</w:t>
        <w:br/>
        <w:t xml:space="preserve">   ↓</w:t>
        <w:br/>
        <w:t>Model-ready dataset</w:t>
      </w:r>
    </w:p>
    <w:p>
      <w:pPr>
        <w:spacing w:before="60" w:after="120"/>
        <w:ind w:left="360" w:right="360"/>
      </w:pPr>
      <w:r>
        <w:rPr>
          <w:rFonts w:ascii="Consolas" w:hAnsi="Consolas"/>
          <w:sz w:val="16"/>
        </w:rPr>
        <w:t>from sklearn.compose import ColumnTransformer</w:t>
        <w:br/>
        <w:t>from sklearn.pipeline import Pipeline</w:t>
        <w:br/>
        <w:t>from sklearn.impute import SimpleImputer</w:t>
        <w:br/>
        <w:t>from sklearn.preprocessing import OneHotEncoder, StandardScaler</w:t>
        <w:br/>
        <w:br/>
        <w:t>numeric_features = [</w:t>
        <w:br/>
        <w:t xml:space="preserve">    "Days for shipment (scheduled)",</w:t>
        <w:br/>
        <w:t xml:space="preserve">    "Order Item Quantity",</w:t>
        <w:br/>
        <w:t xml:space="preserve">    "Sales per customer"</w:t>
        <w:br/>
        <w:t>]</w:t>
        <w:br/>
        <w:br/>
        <w:t>categorical_features = [</w:t>
        <w:br/>
        <w:t xml:space="preserve">    "Shipping Mode",</w:t>
        <w:br/>
        <w:t xml:space="preserve">    "Order Region",</w:t>
        <w:br/>
        <w:t xml:space="preserve">    "Category Name"</w:t>
        <w:br/>
        <w:t>]</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("encoder", OneHotEncoder(handle_unknown="ignore"))</w:t>
        <w:br/>
        <w:t>])</w:t>
        <w:br/>
        <w:br/>
        <w:t>preprocessor = ColumnTransformer([</w:t>
        <w:br/>
        <w:t xml:space="preserve">    ("num", numeric_pipeline, numeric_features),</w:t>
        <w:br/>
        <w:t xml:space="preserve">    ("cat", categorical_pipeline, categorical_features)</w:t>
        <w:br/>
        <w:t>])</w:t>
      </w:r>
    </w:p>
    <w:p>
      <w:pPr>
        <w:pStyle w:val="Heading1"/>
      </w:pPr>
      <w:r>
        <w:t>9. Validation After Cleaning</w:t>
      </w:r>
    </w:p>
    <w:p>
      <w:r>
        <w:t>Cleaning is not complete until the resulting dataset is checked again. The validation stage compares row counts, missingness, duplicates, ranges, and category values before and after preprocessing.</w:t>
      </w:r>
    </w:p>
    <w:p>
      <w:pPr>
        <w:spacing w:before="60" w:after="120"/>
        <w:ind w:left="360" w:right="360"/>
      </w:pPr>
      <w:r>
        <w:rPr>
          <w:rFonts w:ascii="Consolas" w:hAnsi="Consolas"/>
          <w:sz w:val="16"/>
        </w:rPr>
        <w:t>print("Final shape:", df.shape)</w:t>
        <w:br/>
        <w:t>print("Remaining duplicates:", df.duplicated().sum())</w:t>
        <w:br/>
        <w:br/>
        <w:t>print("\nRemaining missing values:")</w:t>
        <w:br/>
        <w:t>print(df.isna().sum().sort_values(ascending=False).head(15))</w:t>
        <w:br/>
        <w:br/>
        <w:t>print("\nSelected numeric ranges:")</w:t>
        <w:br/>
        <w:t>for col in ["Days for shipping (real)", "Order Item Quantity"]:</w:t>
        <w:br/>
        <w:t xml:space="preserve">    if col in df.columns:</w:t>
        <w:br/>
        <w:t xml:space="preserve">        print(col, df[col].min(), "to", df[col].max())</w:t>
      </w:r>
    </w:p>
    <w:p>
      <w:pPr>
        <w:pStyle w:val="Heading1"/>
      </w:pPr>
      <w:r>
        <w:t>10. Impact on Subsequent Logistics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Preprocessing Action</w:t>
            </w:r>
          </w:p>
        </w:tc>
        <w:tc>
          <w:tcPr>
            <w:tcW w:type="dxa" w:w="3360"/>
            <w:vAlign w:val="center"/>
            <w:shd w:fill="D9EAF7"/>
          </w:tcPr>
          <w:p>
            <w:r/>
            <w:r>
              <w:rPr>
                <w:rFonts w:ascii="Aptos" w:hAnsi="Aptos"/>
                <w:b/>
                <w:sz w:val="19"/>
              </w:rPr>
              <w:t>Effect on Analysis</w:t>
            </w:r>
          </w:p>
        </w:tc>
        <w:tc>
          <w:tcPr>
            <w:tcW w:type="dxa" w:w="3360"/>
            <w:vAlign w:val="center"/>
            <w:shd w:fill="D9EAF7"/>
          </w:tcPr>
          <w:p>
            <w:r/>
            <w:r>
              <w:rPr>
                <w:rFonts w:ascii="Aptos" w:hAnsi="Aptos"/>
                <w:b/>
                <w:sz w:val="19"/>
              </w:rPr>
              <w:t>Logistics Benefit</w:t>
            </w:r>
          </w:p>
        </w:tc>
      </w:tr>
      <w:tr>
        <w:tc>
          <w:tcPr>
            <w:tcW w:type="dxa" w:w="3360"/>
            <w:vAlign w:val="center"/>
          </w:tcPr>
          <w:p>
            <w:r/>
            <w:r>
              <w:rPr>
                <w:rFonts w:ascii="Aptos" w:hAnsi="Aptos"/>
                <w:b w:val="0"/>
                <w:sz w:val="19"/>
              </w:rPr>
              <w:t>Missing-value treatment</w:t>
            </w:r>
          </w:p>
        </w:tc>
        <w:tc>
          <w:tcPr>
            <w:tcW w:type="dxa" w:w="3360"/>
            <w:vAlign w:val="center"/>
          </w:tcPr>
          <w:p>
            <w:r/>
            <w:r>
              <w:rPr>
                <w:rFonts w:ascii="Aptos" w:hAnsi="Aptos"/>
                <w:b w:val="0"/>
                <w:sz w:val="19"/>
              </w:rPr>
              <w:t>Reduces incomplete observations and prevents model errors.</w:t>
            </w:r>
          </w:p>
        </w:tc>
        <w:tc>
          <w:tcPr>
            <w:tcW w:type="dxa" w:w="3360"/>
            <w:vAlign w:val="center"/>
          </w:tcPr>
          <w:p>
            <w:r/>
            <w:r>
              <w:rPr>
                <w:rFonts w:ascii="Aptos" w:hAnsi="Aptos"/>
                <w:b w:val="0"/>
                <w:sz w:val="19"/>
              </w:rPr>
              <w:t>More reliable KPIs and predictions.</w:t>
            </w:r>
          </w:p>
        </w:tc>
      </w:tr>
      <w:tr>
        <w:tc>
          <w:tcPr>
            <w:tcW w:type="dxa" w:w="3360"/>
            <w:vAlign w:val="center"/>
          </w:tcPr>
          <w:p>
            <w:r/>
            <w:r>
              <w:rPr>
                <w:rFonts w:ascii="Aptos" w:hAnsi="Aptos"/>
                <w:b w:val="0"/>
                <w:sz w:val="19"/>
              </w:rPr>
              <w:t>Duplicate removal</w:t>
            </w:r>
          </w:p>
        </w:tc>
        <w:tc>
          <w:tcPr>
            <w:tcW w:type="dxa" w:w="3360"/>
            <w:vAlign w:val="center"/>
          </w:tcPr>
          <w:p>
            <w:r/>
            <w:r>
              <w:rPr>
                <w:rFonts w:ascii="Aptos" w:hAnsi="Aptos"/>
                <w:b w:val="0"/>
                <w:sz w:val="19"/>
              </w:rPr>
              <w:t>Prevents repeated records from inflating counts.</w:t>
            </w:r>
          </w:p>
        </w:tc>
        <w:tc>
          <w:tcPr>
            <w:tcW w:type="dxa" w:w="3360"/>
            <w:vAlign w:val="center"/>
          </w:tcPr>
          <w:p>
            <w:r/>
            <w:r>
              <w:rPr>
                <w:rFonts w:ascii="Aptos" w:hAnsi="Aptos"/>
                <w:b w:val="0"/>
                <w:sz w:val="19"/>
              </w:rPr>
              <w:t>More accurate shipment and delivery metrics.</w:t>
            </w:r>
          </w:p>
        </w:tc>
      </w:tr>
      <w:tr>
        <w:tc>
          <w:tcPr>
            <w:tcW w:type="dxa" w:w="3360"/>
            <w:vAlign w:val="center"/>
          </w:tcPr>
          <w:p>
            <w:r/>
            <w:r>
              <w:rPr>
                <w:rFonts w:ascii="Aptos" w:hAnsi="Aptos"/>
                <w:b w:val="0"/>
                <w:sz w:val="19"/>
              </w:rPr>
              <w:t>Category standardization</w:t>
            </w:r>
          </w:p>
        </w:tc>
        <w:tc>
          <w:tcPr>
            <w:tcW w:type="dxa" w:w="3360"/>
            <w:vAlign w:val="center"/>
          </w:tcPr>
          <w:p>
            <w:r/>
            <w:r>
              <w:rPr>
                <w:rFonts w:ascii="Aptos" w:hAnsi="Aptos"/>
                <w:b w:val="0"/>
                <w:sz w:val="19"/>
              </w:rPr>
              <w:t>Combines equivalent labels.</w:t>
            </w:r>
          </w:p>
        </w:tc>
        <w:tc>
          <w:tcPr>
            <w:tcW w:type="dxa" w:w="3360"/>
            <w:vAlign w:val="center"/>
          </w:tcPr>
          <w:p>
            <w:r/>
            <w:r>
              <w:rPr>
                <w:rFonts w:ascii="Aptos" w:hAnsi="Aptos"/>
                <w:b w:val="0"/>
                <w:sz w:val="19"/>
              </w:rPr>
              <w:t>Correct segment-level comparisons.</w:t>
            </w:r>
          </w:p>
        </w:tc>
      </w:tr>
      <w:tr>
        <w:tc>
          <w:tcPr>
            <w:tcW w:type="dxa" w:w="3360"/>
            <w:vAlign w:val="center"/>
          </w:tcPr>
          <w:p>
            <w:r/>
            <w:r>
              <w:rPr>
                <w:rFonts w:ascii="Aptos" w:hAnsi="Aptos"/>
                <w:b w:val="0"/>
                <w:sz w:val="19"/>
              </w:rPr>
              <w:t>Outlier investigation</w:t>
            </w:r>
          </w:p>
        </w:tc>
        <w:tc>
          <w:tcPr>
            <w:tcW w:type="dxa" w:w="3360"/>
            <w:vAlign w:val="center"/>
          </w:tcPr>
          <w:p>
            <w:r/>
            <w:r>
              <w:rPr>
                <w:rFonts w:ascii="Aptos" w:hAnsi="Aptos"/>
                <w:b w:val="0"/>
                <w:sz w:val="19"/>
              </w:rPr>
              <w:t>Separates errors from genuine extreme events.</w:t>
            </w:r>
          </w:p>
        </w:tc>
        <w:tc>
          <w:tcPr>
            <w:tcW w:type="dxa" w:w="3360"/>
            <w:vAlign w:val="center"/>
          </w:tcPr>
          <w:p>
            <w:r/>
            <w:r>
              <w:rPr>
                <w:rFonts w:ascii="Aptos" w:hAnsi="Aptos"/>
                <w:b w:val="0"/>
                <w:sz w:val="19"/>
              </w:rPr>
              <w:t>Avoids hiding serious delivery failures.</w:t>
            </w:r>
          </w:p>
        </w:tc>
      </w:tr>
      <w:tr>
        <w:tc>
          <w:tcPr>
            <w:tcW w:type="dxa" w:w="3360"/>
            <w:vAlign w:val="center"/>
          </w:tcPr>
          <w:p>
            <w:r/>
            <w:r>
              <w:rPr>
                <w:rFonts w:ascii="Aptos" w:hAnsi="Aptos"/>
                <w:b w:val="0"/>
                <w:sz w:val="19"/>
              </w:rPr>
              <w:t>Scaling</w:t>
            </w:r>
          </w:p>
        </w:tc>
        <w:tc>
          <w:tcPr>
            <w:tcW w:type="dxa" w:w="3360"/>
            <w:vAlign w:val="center"/>
          </w:tcPr>
          <w:p>
            <w:r/>
            <w:r>
              <w:rPr>
                <w:rFonts w:ascii="Aptos" w:hAnsi="Aptos"/>
                <w:b w:val="0"/>
                <w:sz w:val="19"/>
              </w:rPr>
              <w:t>Puts numerical features on comparable scales.</w:t>
            </w:r>
          </w:p>
        </w:tc>
        <w:tc>
          <w:tcPr>
            <w:tcW w:type="dxa" w:w="3360"/>
            <w:vAlign w:val="center"/>
          </w:tcPr>
          <w:p>
            <w:r/>
            <w:r>
              <w:rPr>
                <w:rFonts w:ascii="Aptos" w:hAnsi="Aptos"/>
                <w:b w:val="0"/>
                <w:sz w:val="19"/>
              </w:rPr>
              <w:t>Improves distance-based clustering and some ML algorithms.</w:t>
            </w:r>
          </w:p>
        </w:tc>
      </w:tr>
      <w:tr>
        <w:tc>
          <w:tcPr>
            <w:tcW w:type="dxa" w:w="3360"/>
            <w:vAlign w:val="center"/>
          </w:tcPr>
          <w:p>
            <w:r/>
            <w:r>
              <w:rPr>
                <w:rFonts w:ascii="Aptos" w:hAnsi="Aptos"/>
                <w:b w:val="0"/>
                <w:sz w:val="19"/>
              </w:rPr>
              <w:t>Encoding</w:t>
            </w:r>
          </w:p>
        </w:tc>
        <w:tc>
          <w:tcPr>
            <w:tcW w:type="dxa" w:w="3360"/>
            <w:vAlign w:val="center"/>
          </w:tcPr>
          <w:p>
            <w:r/>
            <w:r>
              <w:rPr>
                <w:rFonts w:ascii="Aptos" w:hAnsi="Aptos"/>
                <w:b w:val="0"/>
                <w:sz w:val="19"/>
              </w:rPr>
              <w:t>Converts categorical information into model-ready variables.</w:t>
            </w:r>
          </w:p>
        </w:tc>
        <w:tc>
          <w:tcPr>
            <w:tcW w:type="dxa" w:w="3360"/>
            <w:vAlign w:val="center"/>
          </w:tcPr>
          <w:p>
            <w:r/>
            <w:r>
              <w:rPr>
                <w:rFonts w:ascii="Aptos" w:hAnsi="Aptos"/>
                <w:b w:val="0"/>
                <w:sz w:val="19"/>
              </w:rPr>
              <w:t>Allows predictive algorithms to use operational categories.</w:t>
            </w:r>
          </w:p>
        </w:tc>
      </w:tr>
    </w:tbl>
    <w:p>
      <w:pPr>
        <w:pStyle w:val="Heading1"/>
      </w:pPr>
      <w:r>
        <w:t>11. Reflection</w:t>
      </w:r>
    </w:p>
    <w:p>
      <w:r>
        <w:t>This task demonstrates that data preparation is not simply a technical cleaning exercise. In logistics, every preprocessing decision can change how the business interprets performance. For example, removing extreme delivery times without investigation could make the average delivery time appear better while hiding real service failures. Similarly, replacing missing quantities with zero could incorrectly reduce demand estimates.</w:t>
      </w:r>
    </w:p>
    <w:p>
      <w:r>
        <w:t>A strong preprocessing process therefore combines statistical techniques with business understanding. The raw data should always be preserved, assumptions should be documented, and transformations should be reproducible. Once the cleaned dataset is validated, it can be confidently used for Week 3 exploratory analysis and later predictive modeling.</w:t>
      </w:r>
    </w:p>
    <w:p>
      <w:pPr>
        <w:pStyle w:val="Heading1"/>
      </w:pPr>
      <w:r>
        <w:t>12. Conclusion</w:t>
      </w:r>
    </w:p>
    <w:p>
      <w:r>
        <w:t>The Week 2 preprocessing plan establishes a structured process for converting raw logistics data into a reliable analytical dataset. The workflow covers simulated data collection, profiling, missing-value handling, duplicate detection, data-type conversion, categorical standardization, outlier screening, encoding, and feature scaling.</w:t>
      </w:r>
    </w:p>
    <w:p>
      <w:r>
        <w:t>The key principle is to clean data without removing meaningful operational information. In particular, potential delivery-delay outliers should be investigated because they may represent genuine logistics problems. The resulting pipeline provides a reproducible foundation for KPI analysis, visualization, clustering, and predictive modeling. High-quality preprocessing will improve the reliability of later analytical results and support more informed logistics decisions.</w:t>
      </w:r>
    </w:p>
    <w:p>
      <w:pPr>
        <w:pStyle w:val="Heading1"/>
      </w:pPr>
      <w:r>
        <w:t>13. References and Public Resources</w:t>
      </w:r>
    </w:p>
    <w:p>
      <w:pPr>
        <w:pStyle w:val="ListBullet"/>
      </w:pPr>
      <w:r>
        <w:t>Kaggle – DataCo SMART Supply Chain for Big Data Analysis: https://www.kaggle.com/datasets/shashwatwork/dataco-smart-supply-chain-for-big-data-analysis</w:t>
      </w:r>
    </w:p>
    <w:p>
      <w:pPr>
        <w:pStyle w:val="ListBullet"/>
      </w:pPr>
      <w:r>
        <w:t>Pandas Documentation – User Guide: https://pandas.pydata.org/docs/user_guide/</w:t>
      </w:r>
    </w:p>
    <w:p>
      <w:pPr>
        <w:pStyle w:val="ListBullet"/>
      </w:pPr>
      <w:r>
        <w:t>Scikit-learn Documentation – Preprocessing: https://scikit-learn.org/stable/modules/preprocessing.html</w:t>
      </w:r>
    </w:p>
    <w:p>
      <w:pPr>
        <w:pStyle w:val="ListBullet"/>
      </w:pPr>
      <w:r>
        <w:t>Scikit-learn Documentation – Pipeline: https://scikit-learn.org/stable/modules/compose.html</w:t>
      </w:r>
    </w:p>
    <w:p>
      <w:pPr>
        <w:pStyle w:val="Heading1"/>
      </w:pPr>
      <w:r>
        <w:t>Appendix A – Week 2 Completion Checklist</w:t>
      </w:r>
    </w:p>
    <w:p>
      <w:pPr>
        <w:pStyle w:val="ListBullet"/>
        <w:spacing w:after="40"/>
      </w:pPr>
      <w:r>
        <w:t>Public logistics dataset selected and source documented.</w:t>
      </w:r>
    </w:p>
    <w:p>
      <w:pPr>
        <w:pStyle w:val="ListBullet"/>
        <w:spacing w:after="40"/>
      </w:pPr>
      <w:r>
        <w:t>Raw-data inspection performed.</w:t>
      </w:r>
    </w:p>
    <w:p>
      <w:pPr>
        <w:pStyle w:val="ListBullet"/>
        <w:spacing w:after="40"/>
      </w:pPr>
      <w:r>
        <w:t>Missing-value strategy documented.</w:t>
      </w:r>
    </w:p>
    <w:p>
      <w:pPr>
        <w:pStyle w:val="ListBullet"/>
        <w:spacing w:after="40"/>
      </w:pPr>
      <w:r>
        <w:t>Duplicate-record strategy documented.</w:t>
      </w:r>
    </w:p>
    <w:p>
      <w:pPr>
        <w:pStyle w:val="ListBullet"/>
        <w:spacing w:after="40"/>
      </w:pPr>
      <w:r>
        <w:t>Data types and categorical values standardized.</w:t>
      </w:r>
    </w:p>
    <w:p>
      <w:pPr>
        <w:pStyle w:val="ListBullet"/>
        <w:spacing w:after="40"/>
      </w:pPr>
      <w:r>
        <w:t>Outlier detection method explained.</w:t>
      </w:r>
    </w:p>
    <w:p>
      <w:pPr>
        <w:pStyle w:val="ListBullet"/>
        <w:spacing w:after="40"/>
      </w:pPr>
      <w:r>
        <w:t>Normalization/scaling method explained.</w:t>
      </w:r>
    </w:p>
    <w:p>
      <w:pPr>
        <w:pStyle w:val="ListBullet"/>
        <w:spacing w:after="40"/>
      </w:pPr>
      <w:r>
        <w:t>Categorical encoding explained.</w:t>
      </w:r>
    </w:p>
    <w:p>
      <w:pPr>
        <w:pStyle w:val="ListBullet"/>
        <w:spacing w:after="40"/>
      </w:pPr>
      <w:r>
        <w:t>Python preprocessing snippets included.</w:t>
      </w:r>
    </w:p>
    <w:p>
      <w:pPr>
        <w:pStyle w:val="ListBullet"/>
        <w:spacing w:after="40"/>
      </w:pPr>
      <w:r>
        <w:t>Validation checks and reflection completed.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