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b/>
          <w:bCs/>
          <w:color w:val="1B3A6B"/>
          <w:sz w:val="56"/>
          <w:szCs w:val="56"/>
        </w:rPr>
        <w:t xml:space="preserve">NorthBridge Bank</w:t>
      </w:r>
    </w:p>
    <w:p>
      <w:pPr>
        <w:spacing w:before="0" w:after="120"/>
        <w:jc w:val="center"/>
      </w:pPr>
      <w:r>
        <w:rPr>
          <w:b/>
          <w:bCs/>
          <w:color w:val="0E7490"/>
          <w:sz w:val="40"/>
          <w:szCs w:val="40"/>
        </w:rPr>
        <w:t xml:space="preserve">Digital Loan Application System</w:t>
      </w:r>
    </w:p>
    <w:p>
      <w:pPr>
        <w:spacing w:before="0" w:after="160"/>
        <w:jc w:val="center"/>
      </w:pPr>
      <w:r>
        <w:rPr>
          <w:color w:val="6B7280"/>
          <w:sz w:val="28"/>
          <w:szCs w:val="28"/>
        </w:rPr>
        <w:t xml:space="preserve">Business Requirements Document (BRD)</w:t>
      </w:r>
    </w:p>
    <w:p>
      <w:pPr>
        <w:spacing w:before="0" w:after="800"/>
        <w:jc w:val="center"/>
      </w:pPr>
      <w:r>
        <w:rPr>
          <w:i/>
          <w:iCs/>
          <w:color w:val="6B7280"/>
          <w:sz w:val="22"/>
          <w:szCs w:val="22"/>
        </w:rPr>
        <w:t xml:space="preserve">Personal Case Study Project — Fictional Scenario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40"/>
              <w:bottom w:type="dxa" w:w="80"/>
              <w:right w:type="dxa" w:w="140"/>
            </w:tcMar>
          </w:tcPr>
          <w:p>
            <w:r>
              <w:rPr>
                <w:b/>
                <w:bCs/>
                <w:color w:val="FFFFFF"/>
                <w:sz w:val="20"/>
                <w:szCs w:val="20"/>
              </w:rPr>
              <w:t xml:space="preserve">Document ID</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BRD-NBB-2025-001</w:t>
            </w:r>
          </w:p>
        </w:tc>
      </w:tr>
      <w:tr>
        <w:tc>
          <w:tcPr>
            <w:tcW w:type="dxa" w:w="2400"/>
            <w:tcBorders>
              <w:top w:val="single" w:color="CBD5E1" w:sz="4"/>
              <w:left w:val="single" w:color="CBD5E1" w:sz="4"/>
              <w:bottom w:val="single" w:color="CBD5E1" w:sz="4"/>
              <w:right w:val="single" w:color="CBD5E1" w:sz="4"/>
            </w:tcBorders>
            <w:shd w:fill="1B3A6B" w:val="clear"/>
            <w:tcMar>
              <w:top w:type="dxa" w:w="80"/>
              <w:left w:type="dxa" w:w="140"/>
              <w:bottom w:type="dxa" w:w="80"/>
              <w:right w:type="dxa" w:w="140"/>
            </w:tcMar>
          </w:tcPr>
          <w:p>
            <w:r>
              <w:rPr>
                <w:b/>
                <w:bCs/>
                <w:color w:val="FFFFFF"/>
                <w:sz w:val="20"/>
                <w:szCs w:val="20"/>
              </w:rPr>
              <w:t xml:space="preserve">Version</w:t>
            </w:r>
          </w:p>
        </w:tc>
        <w:tc>
          <w:tcPr>
            <w:tcW w:type="dxa" w:w="3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1.0</w:t>
            </w:r>
          </w:p>
        </w:tc>
      </w:tr>
      <w:tr>
        <w:tc>
          <w:tcPr>
            <w:tcW w:type="dxa" w:w="2400"/>
            <w:tcBorders>
              <w:top w:val="single" w:color="CBD5E1" w:sz="4"/>
              <w:left w:val="single" w:color="CBD5E1" w:sz="4"/>
              <w:bottom w:val="single" w:color="CBD5E1" w:sz="4"/>
              <w:right w:val="single" w:color="CBD5E1" w:sz="4"/>
            </w:tcBorders>
            <w:shd w:fill="1B3A6B" w:val="clear"/>
            <w:tcMar>
              <w:top w:type="dxa" w:w="80"/>
              <w:left w:type="dxa" w:w="140"/>
              <w:bottom w:type="dxa" w:w="80"/>
              <w:right w:type="dxa" w:w="140"/>
            </w:tcMar>
          </w:tcPr>
          <w:p>
            <w:r>
              <w:rPr>
                <w:b/>
                <w:bCs/>
                <w:color w:val="FFFFFF"/>
                <w:sz w:val="20"/>
                <w:szCs w:val="20"/>
              </w:rPr>
              <w:t xml:space="preserve">Status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DRAFT — Pending Stakeholder Sign-off</w:t>
            </w:r>
          </w:p>
        </w:tc>
      </w:tr>
      <w:tr>
        <w:tc>
          <w:tcPr>
            <w:tcW w:type="dxa" w:w="2400"/>
            <w:tcBorders>
              <w:top w:val="single" w:color="CBD5E1" w:sz="4"/>
              <w:left w:val="single" w:color="CBD5E1" w:sz="4"/>
              <w:bottom w:val="single" w:color="CBD5E1" w:sz="4"/>
              <w:right w:val="single" w:color="CBD5E1" w:sz="4"/>
            </w:tcBorders>
            <w:shd w:fill="1B3A6B" w:val="clear"/>
            <w:tcMar>
              <w:top w:type="dxa" w:w="80"/>
              <w:left w:type="dxa" w:w="140"/>
              <w:bottom w:type="dxa" w:w="80"/>
              <w:right w:type="dxa" w:w="140"/>
            </w:tcMar>
          </w:tcPr>
          <w:p>
            <w:r>
              <w:rPr>
                <w:b/>
                <w:bCs/>
                <w:color w:val="FFFFFF"/>
                <w:sz w:val="20"/>
                <w:szCs w:val="20"/>
              </w:rPr>
              <w:t xml:space="preserve">Prepared By</w:t>
            </w:r>
          </w:p>
        </w:tc>
        <w:tc>
          <w:tcPr>
            <w:tcW w:type="dxa" w:w="3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Ruchitha Yathirajulu, Business Analyst</w:t>
            </w:r>
          </w:p>
        </w:tc>
      </w:tr>
      <w:tr>
        <w:tc>
          <w:tcPr>
            <w:tcW w:type="dxa" w:w="2400"/>
            <w:tcBorders>
              <w:top w:val="single" w:color="CBD5E1" w:sz="4"/>
              <w:left w:val="single" w:color="CBD5E1" w:sz="4"/>
              <w:bottom w:val="single" w:color="CBD5E1" w:sz="4"/>
              <w:right w:val="single" w:color="CBD5E1" w:sz="4"/>
            </w:tcBorders>
            <w:shd w:fill="1B3A6B" w:val="clear"/>
            <w:tcMar>
              <w:top w:type="dxa" w:w="80"/>
              <w:left w:type="dxa" w:w="140"/>
              <w:bottom w:type="dxa" w:w="80"/>
              <w:right w:type="dxa" w:w="140"/>
            </w:tcMar>
          </w:tcPr>
          <w:p>
            <w:r>
              <w:rPr>
                <w:b/>
                <w:bCs/>
                <w:color w:val="FFFFFF"/>
                <w:sz w:val="20"/>
                <w:szCs w:val="20"/>
              </w:rPr>
              <w:t xml:space="preserve">Date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June 2025</w:t>
            </w:r>
          </w:p>
        </w:tc>
      </w:tr>
      <w:tr>
        <w:tc>
          <w:tcPr>
            <w:tcW w:type="dxa" w:w="2400"/>
            <w:tcBorders>
              <w:top w:val="single" w:color="CBD5E1" w:sz="4"/>
              <w:left w:val="single" w:color="CBD5E1" w:sz="4"/>
              <w:bottom w:val="single" w:color="CBD5E1" w:sz="4"/>
              <w:right w:val="single" w:color="CBD5E1" w:sz="4"/>
            </w:tcBorders>
            <w:shd w:fill="1B3A6B" w:val="clear"/>
            <w:tcMar>
              <w:top w:type="dxa" w:w="80"/>
              <w:left w:type="dxa" w:w="140"/>
              <w:bottom w:type="dxa" w:w="80"/>
              <w:right w:type="dxa" w:w="140"/>
            </w:tcMar>
          </w:tcPr>
          <w:p>
            <w:r>
              <w:rPr>
                <w:b/>
                <w:bCs/>
                <w:color w:val="FFFFFF"/>
                <w:sz w:val="20"/>
                <w:szCs w:val="20"/>
              </w:rPr>
              <w:t xml:space="preserve">Department</w:t>
            </w:r>
          </w:p>
        </w:tc>
        <w:tc>
          <w:tcPr>
            <w:tcW w:type="dxa" w:w="3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Retail Banking — Digital Transformation</w:t>
            </w:r>
          </w:p>
        </w:tc>
      </w:tr>
      <w:tr>
        <w:tc>
          <w:tcPr>
            <w:tcW w:type="dxa" w:w="2400"/>
            <w:tcBorders>
              <w:top w:val="single" w:color="CBD5E1" w:sz="4"/>
              <w:left w:val="single" w:color="CBD5E1" w:sz="4"/>
              <w:bottom w:val="single" w:color="CBD5E1" w:sz="4"/>
              <w:right w:val="single" w:color="CBD5E1" w:sz="4"/>
            </w:tcBorders>
            <w:shd w:fill="1B3A6B" w:val="clear"/>
            <w:tcMar>
              <w:top w:type="dxa" w:w="80"/>
              <w:left w:type="dxa" w:w="140"/>
              <w:bottom w:type="dxa" w:w="80"/>
              <w:right w:type="dxa" w:w="140"/>
            </w:tcMar>
          </w:tcPr>
          <w:p>
            <w:r>
              <w:rPr>
                <w:b/>
                <w:bCs/>
                <w:color w:val="FFFFFF"/>
                <w:sz w:val="20"/>
                <w:szCs w:val="20"/>
              </w:rPr>
              <w:t xml:space="preserve">Classification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Confidential — Personal Portfolio Project</w:t>
            </w:r>
          </w:p>
        </w:tc>
      </w:tr>
    </w:tbl>
    <w:p>
      <w:r>
        <w:br w:type="page"/>
      </w:r>
    </w:p>
    <w:p>
      <w:pPr>
        <w:pStyle w:val="Heading1"/>
        <w:pBdr>
          <w:bottom w:val="single" w:color="0E7490" w:sz="6" w:space="4"/>
        </w:pBdr>
        <w:spacing w:before="360" w:after="160"/>
      </w:pPr>
      <w:r>
        <w:rPr>
          <w:b/>
          <w:bCs/>
        </w:rPr>
        <w:t xml:space="preserve">1. Executive Summary</w:t>
      </w:r>
    </w:p>
    <w:p>
      <w:pPr>
        <w:spacing w:before="60" w:after="60"/>
      </w:pPr>
      <w:r>
        <w:rPr>
          <w:b w:val="false"/>
          <w:bCs w:val="false"/>
          <w:color w:val="1F2937"/>
          <w:sz w:val="22"/>
          <w:szCs w:val="22"/>
        </w:rPr>
        <w:t xml:space="preserve">NorthBridge Bank currently processes retail loan applications through a manual, paper-based workflow. Customers are required to visit a branch in person, complete physical forms, and wait an average of 10 business days for an approval decision. This process is slow, error-prone, and unable to meet the expectations of today's digital-first customers, resulting in declining satisfaction scores and increasing branch congestion.</w:t>
      </w:r>
    </w:p>
    <w:p>
      <w:pPr>
        <w:spacing w:before="40" w:after="40"/>
      </w:pPr>
      <w:r>
        <w:t xml:space="preserve"/>
      </w:r>
    </w:p>
    <w:p>
      <w:pPr>
        <w:spacing w:before="60" w:after="60"/>
      </w:pPr>
      <w:r>
        <w:rPr>
          <w:b w:val="false"/>
          <w:bCs w:val="false"/>
          <w:color w:val="1F2937"/>
          <w:sz w:val="22"/>
          <w:szCs w:val="22"/>
        </w:rPr>
        <w:t xml:space="preserve">This project will deliver the Digital Loan Application System (DLAS) — a secure, web-based platform that enables customers to apply for personal, auto, and home loans entirely online. The system will automate eligibility checks, document verification, and approval workflows, enabling loan decisions to be issued within 2–3 business days from the date of application.</w:t>
      </w:r>
    </w:p>
    <w:p>
      <w:pPr>
        <w:spacing w:before="40" w:after="40"/>
      </w:pPr>
      <w:r>
        <w:t xml:space="preserve"/>
      </w:r>
    </w:p>
    <w:p>
      <w:pPr>
        <w:spacing w:before="60" w:after="60"/>
      </w:pPr>
      <w:r>
        <w:rPr>
          <w:b w:val="false"/>
          <w:bCs w:val="false"/>
          <w:color w:val="1F2937"/>
          <w:sz w:val="22"/>
          <w:szCs w:val="22"/>
        </w:rPr>
        <w:t xml:space="preserve">Project success will be measured against three key performance indicators: a reduction in average loan processing time from 10 business days to under 3 business days; an improvement in customer satisfaction scores from the current baseline of 58/100 to above 80/100; and a 90% reduction in manual data entry errors within the first six months of go-live.</w:t>
      </w:r>
    </w:p>
    <w:p>
      <w:pPr>
        <w:spacing w:before="80" w:after="80"/>
      </w:pPr>
      <w:r>
        <w:t xml:space="preserve"/>
      </w:r>
    </w:p>
    <w:p>
      <w:pPr>
        <w:pStyle w:val="Heading1"/>
        <w:pBdr>
          <w:bottom w:val="single" w:color="0E7490" w:sz="6" w:space="4"/>
        </w:pBdr>
        <w:spacing w:before="360" w:after="160"/>
      </w:pPr>
      <w:r>
        <w:rPr>
          <w:b/>
          <w:bCs/>
        </w:rPr>
        <w:t xml:space="preserve">2. Business Objectives</w:t>
      </w:r>
    </w:p>
    <w:p>
      <w:pPr>
        <w:spacing w:before="60" w:after="60"/>
      </w:pPr>
      <w:r>
        <w:rPr>
          <w:b w:val="false"/>
          <w:bCs w:val="false"/>
          <w:color w:val="1F2937"/>
          <w:sz w:val="22"/>
          <w:szCs w:val="22"/>
        </w:rPr>
        <w:t xml:space="preserve">The following measurable objectives were defined in collaboration with senior stakeholders from Retail Banking, IT, Risk &amp; Compliance, and Customer Experience teams: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600"/>
        <w:gridCol w:w="1600"/>
        <w:gridCol w:w="3460"/>
      </w:tblGrid>
      <w:tr>
        <w:trPr>
          <w:tblHeader/>
        </w:trPr>
        <w:tc>
          <w:tcPr>
            <w:tcW w:type="dxa" w:w="7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Obj ID</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Objective</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Current State</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Target State</w:t>
            </w:r>
          </w:p>
        </w:tc>
        <w:tc>
          <w:tcPr>
            <w:tcW w:type="dxa" w:w="34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KPI</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BO-01</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Reduce loan processing time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Average 10 business days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Under 3 business days</w:t>
            </w:r>
          </w:p>
        </w:tc>
        <w:tc>
          <w:tcPr>
            <w:tcW w:type="dxa" w:w="3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Average processing time per application</w:t>
            </w:r>
          </w:p>
        </w:tc>
      </w:tr>
      <w:tr>
        <w:tc>
          <w:tcPr>
            <w:tcW w:type="dxa" w:w="7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BO-02</w:t>
            </w:r>
          </w:p>
        </w:tc>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Improve customer satisfaction</w:t>
            </w:r>
          </w:p>
        </w:tc>
        <w:tc>
          <w:tcPr>
            <w:tcW w:type="dxa" w:w="1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CSAT score: 58/100</w:t>
            </w:r>
          </w:p>
        </w:tc>
        <w:tc>
          <w:tcPr>
            <w:tcW w:type="dxa" w:w="1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CSAT score: 80+/100</w:t>
            </w:r>
          </w:p>
        </w:tc>
        <w:tc>
          <w:tcPr>
            <w:tcW w:type="dxa" w:w="34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Post-application CSAT survey</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BO-03</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Reduce manual data entry errors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~12% error rate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Under 2% error rate</w:t>
            </w:r>
          </w:p>
        </w:tc>
        <w:tc>
          <w:tcPr>
            <w:tcW w:type="dxa" w:w="3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Error rate per 100 applications</w:t>
            </w:r>
          </w:p>
        </w:tc>
      </w:tr>
      <w:tr>
        <w:tc>
          <w:tcPr>
            <w:tcW w:type="dxa" w:w="7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BO-04</w:t>
            </w:r>
          </w:p>
        </w:tc>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Increase operational capacity</w:t>
            </w:r>
          </w:p>
        </w:tc>
        <w:tc>
          <w:tcPr>
            <w:tcW w:type="dxa" w:w="1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Max 200 applications/month</w:t>
            </w:r>
          </w:p>
        </w:tc>
        <w:tc>
          <w:tcPr>
            <w:tcW w:type="dxa" w:w="1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500+ applications/month</w:t>
            </w:r>
          </w:p>
        </w:tc>
        <w:tc>
          <w:tcPr>
            <w:tcW w:type="dxa" w:w="34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Monthly application volume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BO-05</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Achieve regulatory compliance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Manual audit trail via spreadsheets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Automated digital audit log</w:t>
            </w:r>
          </w:p>
        </w:tc>
        <w:tc>
          <w:tcPr>
            <w:tcW w:type="dxa" w:w="3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Audit pass rate</w:t>
            </w:r>
          </w:p>
        </w:tc>
      </w:tr>
    </w:tbl>
    <w:p>
      <w:pPr>
        <w:spacing w:before="80" w:after="80"/>
      </w:pPr>
      <w:r>
        <w:t xml:space="preserve"/>
      </w:r>
    </w:p>
    <w:p>
      <w:pPr>
        <w:pStyle w:val="Heading1"/>
        <w:pBdr>
          <w:bottom w:val="single" w:color="0E7490" w:sz="6" w:space="4"/>
        </w:pBdr>
        <w:spacing w:before="360" w:after="160"/>
      </w:pPr>
      <w:r>
        <w:rPr>
          <w:b/>
          <w:bCs/>
        </w:rPr>
        <w:t xml:space="preserve">3. Project Scope</w:t>
      </w:r>
    </w:p>
    <w:p>
      <w:pPr>
        <w:pStyle w:val="Heading2"/>
        <w:spacing w:before="240" w:after="120"/>
      </w:pPr>
      <w:r>
        <w:rPr>
          <w:b/>
          <w:bCs/>
        </w:rPr>
        <w:t xml:space="preserve">3.1 In Scope</w:t>
      </w:r>
    </w:p>
    <w:p>
      <w:pPr>
        <w:pStyle w:val="ListParagraph"/>
        <w:numPr>
          <w:ilvl w:val="0"/>
          <w:numId w:val="2"/>
        </w:numPr>
        <w:spacing w:before="40" w:after="40"/>
      </w:pPr>
      <w:r>
        <w:rPr>
          <w:color w:val="1F2937"/>
          <w:sz w:val="22"/>
          <w:szCs w:val="22"/>
        </w:rPr>
        <w:t xml:space="preserve">Customer registration and login via email and password</w:t>
      </w:r>
    </w:p>
    <w:p>
      <w:pPr>
        <w:pStyle w:val="ListParagraph"/>
        <w:numPr>
          <w:ilvl w:val="0"/>
          <w:numId w:val="2"/>
        </w:numPr>
        <w:spacing w:before="40" w:after="40"/>
      </w:pPr>
      <w:r>
        <w:rPr>
          <w:color w:val="1F2937"/>
          <w:sz w:val="22"/>
          <w:szCs w:val="22"/>
        </w:rPr>
        <w:t xml:space="preserve">Online loan application for Personal, Auto, and Home loan types</w:t>
      </w:r>
    </w:p>
    <w:p>
      <w:pPr>
        <w:pStyle w:val="ListParagraph"/>
        <w:numPr>
          <w:ilvl w:val="0"/>
          <w:numId w:val="2"/>
        </w:numPr>
        <w:spacing w:before="40" w:after="40"/>
      </w:pPr>
      <w:r>
        <w:rPr>
          <w:color w:val="1F2937"/>
          <w:sz w:val="22"/>
          <w:szCs w:val="22"/>
        </w:rPr>
        <w:t xml:space="preserve">Automated pre-eligibility screening based on credit score thresholds</w:t>
      </w:r>
    </w:p>
    <w:p>
      <w:pPr>
        <w:pStyle w:val="ListParagraph"/>
        <w:numPr>
          <w:ilvl w:val="0"/>
          <w:numId w:val="2"/>
        </w:numPr>
        <w:spacing w:before="40" w:after="40"/>
      </w:pPr>
      <w:r>
        <w:rPr>
          <w:color w:val="1F2937"/>
          <w:sz w:val="22"/>
          <w:szCs w:val="22"/>
        </w:rPr>
        <w:t xml:space="preserve">Document upload functionality for supporting materials (pay stubs, ID, bank statements)</w:t>
      </w:r>
    </w:p>
    <w:p>
      <w:pPr>
        <w:pStyle w:val="ListParagraph"/>
        <w:numPr>
          <w:ilvl w:val="0"/>
          <w:numId w:val="2"/>
        </w:numPr>
        <w:spacing w:before="40" w:after="40"/>
      </w:pPr>
      <w:r>
        <w:rPr>
          <w:color w:val="1F2937"/>
          <w:sz w:val="22"/>
          <w:szCs w:val="22"/>
        </w:rPr>
        <w:t xml:space="preserve">Loan officer dashboard to review, assess, and action all submitted applications</w:t>
      </w:r>
    </w:p>
    <w:p>
      <w:pPr>
        <w:pStyle w:val="ListParagraph"/>
        <w:numPr>
          <w:ilvl w:val="0"/>
          <w:numId w:val="2"/>
        </w:numPr>
        <w:spacing w:before="40" w:after="40"/>
      </w:pPr>
      <w:r>
        <w:rPr>
          <w:color w:val="1F2937"/>
          <w:sz w:val="22"/>
          <w:szCs w:val="22"/>
        </w:rPr>
        <w:t xml:space="preserve">Automated email and SMS notifications at each application stage</w:t>
      </w:r>
    </w:p>
    <w:p>
      <w:pPr>
        <w:pStyle w:val="ListParagraph"/>
        <w:numPr>
          <w:ilvl w:val="0"/>
          <w:numId w:val="2"/>
        </w:numPr>
        <w:spacing w:before="40" w:after="40"/>
      </w:pPr>
      <w:r>
        <w:rPr>
          <w:color w:val="1F2937"/>
          <w:sz w:val="22"/>
          <w:szCs w:val="22"/>
        </w:rPr>
        <w:t xml:space="preserve">Integration with Equifax credit bureau API for automated credit checks</w:t>
      </w:r>
    </w:p>
    <w:p>
      <w:pPr>
        <w:pStyle w:val="ListParagraph"/>
        <w:numPr>
          <w:ilvl w:val="0"/>
          <w:numId w:val="2"/>
        </w:numPr>
        <w:spacing w:before="40" w:after="40"/>
      </w:pPr>
      <w:r>
        <w:rPr>
          <w:color w:val="1F2937"/>
          <w:sz w:val="22"/>
          <w:szCs w:val="22"/>
        </w:rPr>
        <w:t xml:space="preserve">Integration with existing Core Banking System (CBS) for account verification</w:t>
      </w:r>
    </w:p>
    <w:p>
      <w:pPr>
        <w:pStyle w:val="ListParagraph"/>
        <w:numPr>
          <w:ilvl w:val="0"/>
          <w:numId w:val="2"/>
        </w:numPr>
        <w:spacing w:before="40" w:after="40"/>
      </w:pPr>
      <w:r>
        <w:rPr>
          <w:color w:val="1F2937"/>
          <w:sz w:val="22"/>
          <w:szCs w:val="22"/>
        </w:rPr>
        <w:t xml:space="preserve">Digital audit trail for all loan decisions to meet regulatory requirements</w:t>
      </w:r>
    </w:p>
    <w:p>
      <w:pPr>
        <w:spacing w:before="60" w:after="60"/>
      </w:pPr>
      <w:r>
        <w:t xml:space="preserve"/>
      </w:r>
    </w:p>
    <w:p>
      <w:pPr>
        <w:pStyle w:val="Heading2"/>
        <w:spacing w:before="240" w:after="120"/>
      </w:pPr>
      <w:r>
        <w:rPr>
          <w:b/>
          <w:bCs/>
        </w:rPr>
        <w:t xml:space="preserve">3.2 Out of Scope</w:t>
      </w:r>
    </w:p>
    <w:p>
      <w:pPr>
        <w:pStyle w:val="ListParagraph"/>
        <w:numPr>
          <w:ilvl w:val="0"/>
          <w:numId w:val="2"/>
        </w:numPr>
        <w:spacing w:before="40" w:after="40"/>
      </w:pPr>
      <w:r>
        <w:rPr>
          <w:color w:val="1F2937"/>
          <w:sz w:val="22"/>
          <w:szCs w:val="22"/>
        </w:rPr>
        <w:t xml:space="preserve">Mortgage and business loan applications — addressed in Phase 2</w:t>
      </w:r>
    </w:p>
    <w:p>
      <w:pPr>
        <w:pStyle w:val="ListParagraph"/>
        <w:numPr>
          <w:ilvl w:val="0"/>
          <w:numId w:val="2"/>
        </w:numPr>
        <w:spacing w:before="40" w:after="40"/>
      </w:pPr>
      <w:r>
        <w:rPr>
          <w:color w:val="1F2937"/>
          <w:sz w:val="22"/>
          <w:szCs w:val="22"/>
        </w:rPr>
        <w:t xml:space="preserve">Native mobile app for iOS and Android — web-responsive only in this phase</w:t>
      </w:r>
    </w:p>
    <w:p>
      <w:pPr>
        <w:pStyle w:val="ListParagraph"/>
        <w:numPr>
          <w:ilvl w:val="0"/>
          <w:numId w:val="2"/>
        </w:numPr>
        <w:spacing w:before="40" w:after="40"/>
      </w:pPr>
      <w:r>
        <w:rPr>
          <w:color w:val="1F2937"/>
          <w:sz w:val="22"/>
          <w:szCs w:val="22"/>
        </w:rPr>
        <w:t xml:space="preserve">Rebuilding or replacing the Core Banking System (CBS)</w:t>
      </w:r>
    </w:p>
    <w:p>
      <w:pPr>
        <w:pStyle w:val="ListParagraph"/>
        <w:numPr>
          <w:ilvl w:val="0"/>
          <w:numId w:val="2"/>
        </w:numPr>
        <w:spacing w:before="40" w:after="40"/>
      </w:pPr>
      <w:r>
        <w:rPr>
          <w:color w:val="1F2937"/>
          <w:sz w:val="22"/>
          <w:szCs w:val="22"/>
        </w:rPr>
        <w:t xml:space="preserve">Financial advisory or credit counselling features</w:t>
      </w:r>
    </w:p>
    <w:p>
      <w:pPr>
        <w:pStyle w:val="ListParagraph"/>
        <w:numPr>
          <w:ilvl w:val="0"/>
          <w:numId w:val="2"/>
        </w:numPr>
        <w:spacing w:before="40" w:after="40"/>
      </w:pPr>
      <w:r>
        <w:rPr>
          <w:color w:val="1F2937"/>
          <w:sz w:val="22"/>
          <w:szCs w:val="22"/>
        </w:rPr>
        <w:t xml:space="preserve">Loan applications for non-Canadian residents</w:t>
      </w:r>
    </w:p>
    <w:p>
      <w:pPr>
        <w:spacing w:before="80" w:after="80"/>
      </w:pPr>
      <w:r>
        <w:t xml:space="preserve"/>
      </w:r>
    </w:p>
    <w:p>
      <w:pPr>
        <w:pStyle w:val="Heading1"/>
        <w:pBdr>
          <w:bottom w:val="single" w:color="0E7490" w:sz="6" w:space="4"/>
        </w:pBdr>
        <w:spacing w:before="360" w:after="160"/>
      </w:pPr>
      <w:r>
        <w:rPr>
          <w:b/>
          <w:bCs/>
        </w:rPr>
        <w:t xml:space="preserve">4. Stakeholders</w:t>
      </w:r>
    </w:p>
    <w:p>
      <w:pPr>
        <w:spacing w:before="60" w:after="60"/>
      </w:pPr>
      <w:r>
        <w:rPr>
          <w:b w:val="false"/>
          <w:bCs w:val="false"/>
          <w:color w:val="1F2937"/>
          <w:sz w:val="22"/>
          <w:szCs w:val="22"/>
        </w:rPr>
        <w:t xml:space="preserve">The following stakeholders were identified through requirements elicitation sessions, interviews, and process observation. A Power/Interest Grid was used to determine engagement approach for each stakeholder.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00"/>
        <w:gridCol w:w="1200"/>
        <w:gridCol w:w="3760"/>
      </w:tblGrid>
      <w:tr>
        <w:trPr>
          <w:tblHeader/>
        </w:trPr>
        <w:tc>
          <w:tcPr>
            <w:tcW w:type="dxa" w:w="15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Stakeholder</w:t>
            </w:r>
          </w:p>
        </w:tc>
        <w:tc>
          <w:tcPr>
            <w:tcW w:type="dxa" w:w="1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Role</w:t>
            </w:r>
          </w:p>
        </w:tc>
        <w:tc>
          <w:tcPr>
            <w:tcW w:type="dxa" w:w="9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Type</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Power/Interest</w:t>
            </w:r>
          </w:p>
        </w:tc>
        <w:tc>
          <w:tcPr>
            <w:tcW w:type="dxa" w:w="37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Engagement Approach</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Sarah Mitchell</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Project Sponsor</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High / High</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Weekly steering meetings; final sign-off authority</w:t>
            </w:r>
          </w:p>
        </w:tc>
      </w:tr>
      <w:tr>
        <w:tc>
          <w:tcPr>
            <w:tcW w:type="dxa" w:w="15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James Okafor</w:t>
            </w:r>
          </w:p>
        </w:tc>
        <w:tc>
          <w:tcPr>
            <w:tcW w:type="dxa" w:w="1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Product Owner</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 / High</w:t>
            </w:r>
          </w:p>
        </w:tc>
        <w:tc>
          <w:tcPr>
            <w:tcW w:type="dxa" w:w="37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Sprint reviews; feature prioritization decisions</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Ruchitha Yathirajulu</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Business Analyst</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Medium / High</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Requirements gathering; documentation; UAT coordination</w:t>
            </w:r>
          </w:p>
        </w:tc>
      </w:tr>
      <w:tr>
        <w:tc>
          <w:tcPr>
            <w:tcW w:type="dxa" w:w="15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IT Development Team</w:t>
            </w:r>
          </w:p>
        </w:tc>
        <w:tc>
          <w:tcPr>
            <w:tcW w:type="dxa" w:w="1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Solution Builders</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Medium / High</w:t>
            </w:r>
          </w:p>
        </w:tc>
        <w:tc>
          <w:tcPr>
            <w:tcW w:type="dxa" w:w="37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Sprint ceremonies; technical feasibility reviews</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QA / Testing Team</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Quality Assurance</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Medium / High</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Test case reviews; UAT execution</w:t>
            </w:r>
          </w:p>
        </w:tc>
      </w:tr>
      <w:tr>
        <w:tc>
          <w:tcPr>
            <w:tcW w:type="dxa" w:w="15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Scrum Master</w:t>
            </w:r>
          </w:p>
        </w:tc>
        <w:tc>
          <w:tcPr>
            <w:tcW w:type="dxa" w:w="1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Agile Facilitator</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Medium / Medium</w:t>
            </w:r>
          </w:p>
        </w:tc>
        <w:tc>
          <w:tcPr>
            <w:tcW w:type="dxa" w:w="37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Sprint planning; impediment removal</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Loan Officers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Primary End Users</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Low / High</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Requirements interviews; UAT participants</w:t>
            </w:r>
          </w:p>
        </w:tc>
      </w:tr>
      <w:tr>
        <w:tc>
          <w:tcPr>
            <w:tcW w:type="dxa" w:w="15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Risk &amp; Compliance Team</w:t>
            </w:r>
          </w:p>
        </w:tc>
        <w:tc>
          <w:tcPr>
            <w:tcW w:type="dxa" w:w="1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Regulatory Reviewers</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 / Medium</w:t>
            </w:r>
          </w:p>
        </w:tc>
        <w:tc>
          <w:tcPr>
            <w:tcW w:type="dxa" w:w="37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Compliance sign-off; NFR validation</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 Service Team</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Support Staff</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Internal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Low / Medium</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Training needs; customer feedback</w:t>
            </w:r>
          </w:p>
        </w:tc>
      </w:tr>
      <w:tr>
        <w:tc>
          <w:tcPr>
            <w:tcW w:type="dxa" w:w="15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Bank Customers</w:t>
            </w:r>
          </w:p>
        </w:tc>
        <w:tc>
          <w:tcPr>
            <w:tcW w:type="dxa" w:w="1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External End Users</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External</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Low / High</w:t>
            </w:r>
          </w:p>
        </w:tc>
        <w:tc>
          <w:tcPr>
            <w:tcW w:type="dxa" w:w="37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Usability testing; CSAT surveys</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Equifax</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Credit Bureau Vendor</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External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Low / Medium</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API integration support; sandbox access</w:t>
            </w:r>
          </w:p>
        </w:tc>
      </w:tr>
    </w:tbl>
    <w:p>
      <w:pPr>
        <w:spacing w:before="80" w:after="80"/>
      </w:pPr>
      <w:r>
        <w:t xml:space="preserve"/>
      </w:r>
    </w:p>
    <w:p>
      <w:pPr>
        <w:pStyle w:val="Heading1"/>
        <w:pBdr>
          <w:bottom w:val="single" w:color="0E7490" w:sz="6" w:space="4"/>
        </w:pBdr>
        <w:spacing w:before="360" w:after="160"/>
      </w:pPr>
      <w:r>
        <w:rPr>
          <w:b/>
          <w:bCs/>
        </w:rPr>
        <w:t xml:space="preserve">5. Current State (AS-IS) Analysis</w:t>
      </w:r>
    </w:p>
    <w:p>
      <w:pPr>
        <w:spacing w:before="60" w:after="60"/>
      </w:pPr>
      <w:r>
        <w:rPr>
          <w:b w:val="false"/>
          <w:bCs w:val="false"/>
          <w:color w:val="1F2937"/>
          <w:sz w:val="22"/>
          <w:szCs w:val="22"/>
        </w:rPr>
        <w:t xml:space="preserve">The current loan application process at NorthBridge Bank is entirely manual and paper-based. The following pain points were identified through stakeholder interviews and direct process observation: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2400"/>
        <w:gridCol w:w="1260"/>
      </w:tblGrid>
      <w:tr>
        <w:trPr>
          <w:tblHeader/>
        </w:trPr>
        <w:tc>
          <w:tcPr>
            <w:tcW w:type="dxa" w:w="9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Pain Point ID</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What Happens</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Problem</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Impact</w:t>
            </w:r>
          </w:p>
        </w:tc>
        <w:tc>
          <w:tcPr>
            <w:tcW w:type="dxa" w:w="12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Severity</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PP-01</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 must visit branch in person during business hours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Cannot apply outside operating hours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Urgent applications delayed to next business day; branch congestion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High</w:t>
            </w:r>
          </w:p>
        </w:tc>
      </w:tr>
      <w:tr>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PP-02</w:t>
            </w:r>
          </w:p>
        </w:tc>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Loan officer manually re-enters customer data from paper forms into CBS</w:t>
            </w:r>
          </w:p>
        </w:tc>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Data transcription errors and mismatches between form and system</w:t>
            </w:r>
          </w:p>
        </w:tc>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~12% error rate; rework and processing delays</w:t>
            </w:r>
          </w:p>
        </w:tc>
        <w:tc>
          <w:tcPr>
            <w:tcW w:type="dxa" w:w="12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PP-03</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Credit bureau check initiated manually by phone; response received by fax</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2–3 business day wait per application for Equifax response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Directly contributes to 10-day average processing time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High</w:t>
            </w:r>
          </w:p>
        </w:tc>
      </w:tr>
      <w:tr>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PP-04</w:t>
            </w:r>
          </w:p>
        </w:tc>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No digital status tracking — customers must call branch for updates</w:t>
            </w:r>
          </w:p>
        </w:tc>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 inbound call volumes; staff cannot focus on reviews</w:t>
            </w:r>
          </w:p>
        </w:tc>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Staff frustration; reduced productivity; low CSAT</w:t>
            </w:r>
          </w:p>
        </w:tc>
        <w:tc>
          <w:tcPr>
            <w:tcW w:type="dxa" w:w="12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PP-05</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Loan decisions communicated to customers via physical mail</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3–5 day delay after decision; risk of lost letters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 frustration; eroded trust; occasional re-communication needed</w:t>
            </w:r>
          </w:p>
        </w:tc>
        <w:tc>
          <w:tcPr>
            <w:tcW w:type="dxa" w:w="1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Medium</w:t>
            </w:r>
          </w:p>
        </w:tc>
      </w:tr>
    </w:tbl>
    <w:p>
      <w:pPr>
        <w:spacing w:before="80" w:after="80"/>
      </w:pPr>
      <w:r>
        <w:t xml:space="preserve"/>
      </w:r>
    </w:p>
    <w:p>
      <w:pPr>
        <w:pStyle w:val="Heading1"/>
        <w:pBdr>
          <w:bottom w:val="single" w:color="0E7490" w:sz="6" w:space="4"/>
        </w:pBdr>
        <w:spacing w:before="360" w:after="160"/>
      </w:pPr>
      <w:r>
        <w:rPr>
          <w:b/>
          <w:bCs/>
        </w:rPr>
        <w:t xml:space="preserve">6. Future State (TO-BE) Overview</w:t>
      </w:r>
    </w:p>
    <w:p>
      <w:pPr>
        <w:spacing w:before="60" w:after="60"/>
      </w:pPr>
      <w:r>
        <w:rPr>
          <w:b w:val="false"/>
          <w:bCs w:val="false"/>
          <w:color w:val="1F2937"/>
          <w:sz w:val="22"/>
          <w:szCs w:val="22"/>
        </w:rPr>
        <w:t xml:space="preserve">The Digital Loan Application System (DLAS) will directly address each pain point identified in the AS-IS analysis. Every solution below traces back to a documented current-state problem: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AS-IS (Current State)</w:t>
            </w:r>
          </w:p>
        </w:tc>
        <w:tc>
          <w:tcPr>
            <w:tcW w:type="dxa" w:w="3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TO-BE (Future State)</w:t>
            </w:r>
          </w:p>
        </w:tc>
        <w:tc>
          <w:tcPr>
            <w:tcW w:type="dxa" w:w="3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Benefit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 must visit branch during business hours to apply</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Customers can apply online 24/7 from any device without visiting a branch</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Eliminates branch congestion; increases accessibility</w:t>
            </w:r>
          </w:p>
        </w:tc>
      </w:tr>
      <w:tr>
        <w:tc>
          <w:tcPr>
            <w:tcW w:type="dxa" w:w="2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Loan officer manually re-enters paper form data into CBS causing transcription errors</w:t>
            </w:r>
          </w:p>
        </w:tc>
        <w:tc>
          <w:tcPr>
            <w:tcW w:type="dxa" w:w="3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Customer enters data directly into the system; real-time validation catches errors before submission</w:t>
            </w:r>
          </w:p>
        </w:tc>
        <w:tc>
          <w:tcPr>
            <w:tcW w:type="dxa" w:w="3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Reduces error rate from ~12% to under 2%</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Equifax credit check initiated by phone; response by fax in 2–3 days</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System automatically calls Equifax API upon submission; credit score returned in seconds</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Removes 2–3 day delay per application</w:t>
            </w:r>
          </w:p>
        </w:tc>
      </w:tr>
      <w:tr>
        <w:tc>
          <w:tcPr>
            <w:tcW w:type="dxa" w:w="2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No status visibility; customers must call branch for updates</w:t>
            </w:r>
          </w:p>
        </w:tc>
        <w:tc>
          <w:tcPr>
            <w:tcW w:type="dxa" w:w="3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Customers see real-time status on dashboard and receive automated SMS and email at every stage</w:t>
            </w:r>
          </w:p>
        </w:tc>
        <w:tc>
          <w:tcPr>
            <w:tcW w:type="dxa" w:w="3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Reduces inbound calls; improves CSAT from 58 to 80+</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Loan decision mailed physically; arrives 3–5 days after decision</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 receives instant email and SMS notification the moment a decision is made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Same-day decision communication; builds customer trust</w:t>
            </w:r>
          </w:p>
        </w:tc>
      </w:tr>
    </w:tbl>
    <w:p>
      <w:pPr>
        <w:spacing w:before="80" w:after="80"/>
      </w:pPr>
      <w:r>
        <w:t xml:space="preserve"/>
      </w:r>
    </w:p>
    <w:p>
      <w:pPr>
        <w:pStyle w:val="Heading1"/>
        <w:pBdr>
          <w:bottom w:val="single" w:color="0E7490" w:sz="6" w:space="4"/>
        </w:pBdr>
        <w:spacing w:before="360" w:after="160"/>
      </w:pPr>
      <w:r>
        <w:rPr>
          <w:b/>
          <w:bCs/>
        </w:rPr>
        <w:t xml:space="preserve">7. Functional Requirements</w:t>
      </w:r>
    </w:p>
    <w:p>
      <w:pPr>
        <w:spacing w:before="60" w:after="60"/>
      </w:pPr>
      <w:r>
        <w:rPr>
          <w:b w:val="false"/>
          <w:bCs w:val="false"/>
          <w:color w:val="1F2937"/>
          <w:sz w:val="22"/>
          <w:szCs w:val="22"/>
        </w:rPr>
        <w:t xml:space="preserve">Functional requirements define what the system must do. Requirements are written using 'shall' statements and prioritized using MoSCoW notation (Must Have / Should Have / Could Have / Won't Have).</w:t>
      </w:r>
    </w:p>
    <w:p>
      <w:pPr>
        <w:spacing w:before="60" w:after="60"/>
      </w:pPr>
      <w:r>
        <w:t xml:space="preserve"/>
      </w:r>
    </w:p>
    <w:p>
      <w:pPr>
        <w:pStyle w:val="Heading2"/>
        <w:spacing w:before="240" w:after="120"/>
      </w:pPr>
      <w:r>
        <w:rPr>
          <w:b/>
          <w:bCs/>
        </w:rPr>
        <w:t xml:space="preserve">7.1 Customer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1100"/>
        <w:gridCol w:w="2060"/>
      </w:tblGrid>
      <w:tr>
        <w:trPr>
          <w:tblHeader/>
        </w:trPr>
        <w:tc>
          <w:tcPr>
            <w:tcW w:type="dxa" w:w="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Req ID</w:t>
            </w:r>
          </w:p>
        </w:tc>
        <w:tc>
          <w:tcPr>
            <w:tcW w:type="dxa" w:w="4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Requirement</w:t>
            </w:r>
          </w:p>
        </w:tc>
        <w:tc>
          <w:tcPr>
            <w:tcW w:type="dxa" w:w="11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Priority</w:t>
            </w:r>
          </w:p>
        </w:tc>
        <w:tc>
          <w:tcPr>
            <w:tcW w:type="dxa" w:w="20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Source</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FR-001</w:t>
            </w:r>
          </w:p>
        </w:tc>
        <w:tc>
          <w:tcPr>
            <w:tcW w:type="dxa" w:w="4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allow customers to register and create an account using their email address and password</w:t>
            </w:r>
          </w:p>
        </w:tc>
        <w:tc>
          <w:tcPr>
            <w:tcW w:type="dxa" w:w="1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Product Owner</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FR-002</w:t>
            </w:r>
          </w:p>
        </w:tc>
        <w:tc>
          <w:tcPr>
            <w:tcW w:type="dxa" w:w="4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The system shall allow customers to select their desired loan type — Personal, Auto, or Home — at the start of the application</w:t>
            </w:r>
          </w:p>
        </w:tc>
        <w:tc>
          <w:tcPr>
            <w:tcW w:type="dxa" w:w="11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Product Owner</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FR-003</w:t>
            </w:r>
          </w:p>
        </w:tc>
        <w:tc>
          <w:tcPr>
            <w:tcW w:type="dxa" w:w="4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validate all required fields in real-time and display inline error messages to the customer before form submission</w:t>
            </w:r>
          </w:p>
        </w:tc>
        <w:tc>
          <w:tcPr>
            <w:tcW w:type="dxa" w:w="1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IT Dev Team</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FR-004</w:t>
            </w:r>
          </w:p>
        </w:tc>
        <w:tc>
          <w:tcPr>
            <w:tcW w:type="dxa" w:w="4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The system shall allow customers to upload supporting documents including pay stubs, government-issued ID, and bank statements in PDF, JPG, or PNG format</w:t>
            </w:r>
          </w:p>
        </w:tc>
        <w:tc>
          <w:tcPr>
            <w:tcW w:type="dxa" w:w="11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Loan Officers</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FR-005</w:t>
            </w:r>
          </w:p>
        </w:tc>
        <w:tc>
          <w:tcPr>
            <w:tcW w:type="dxa" w:w="4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display real-time application status to the customer — Submitted, Under Review, Approved, or Declined</w:t>
            </w:r>
          </w:p>
        </w:tc>
        <w:tc>
          <w:tcPr>
            <w:tcW w:type="dxa" w:w="1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Customers</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FR-006</w:t>
            </w:r>
          </w:p>
        </w:tc>
        <w:tc>
          <w:tcPr>
            <w:tcW w:type="dxa" w:w="4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The system shall send automated email and SMS notifications to the customer at every application status change</w:t>
            </w:r>
          </w:p>
        </w:tc>
        <w:tc>
          <w:tcPr>
            <w:tcW w:type="dxa" w:w="11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Customers</w:t>
            </w:r>
          </w:p>
        </w:tc>
      </w:tr>
    </w:tbl>
    <w:p>
      <w:pPr>
        <w:spacing w:before="60" w:after="60"/>
      </w:pPr>
      <w:r>
        <w:t xml:space="preserve"/>
      </w:r>
    </w:p>
    <w:p>
      <w:pPr>
        <w:pStyle w:val="Heading2"/>
        <w:spacing w:before="240" w:after="120"/>
      </w:pPr>
      <w:r>
        <w:rPr>
          <w:b/>
          <w:bCs/>
        </w:rPr>
        <w:t xml:space="preserve">7.2 Loan Officer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1100"/>
        <w:gridCol w:w="2060"/>
      </w:tblGrid>
      <w:tr>
        <w:trPr>
          <w:tblHeader/>
        </w:trPr>
        <w:tc>
          <w:tcPr>
            <w:tcW w:type="dxa" w:w="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Req ID</w:t>
            </w:r>
          </w:p>
        </w:tc>
        <w:tc>
          <w:tcPr>
            <w:tcW w:type="dxa" w:w="4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Requirement</w:t>
            </w:r>
          </w:p>
        </w:tc>
        <w:tc>
          <w:tcPr>
            <w:tcW w:type="dxa" w:w="11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Priority</w:t>
            </w:r>
          </w:p>
        </w:tc>
        <w:tc>
          <w:tcPr>
            <w:tcW w:type="dxa" w:w="20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Source</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FR-007</w:t>
            </w:r>
          </w:p>
        </w:tc>
        <w:tc>
          <w:tcPr>
            <w:tcW w:type="dxa" w:w="4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provide loan officers with a dashboard displaying all assigned loan applications with filters for status, date, and loan type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Loan Officers</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FR-008</w:t>
            </w:r>
          </w:p>
        </w:tc>
        <w:tc>
          <w:tcPr>
            <w:tcW w:type="dxa" w:w="4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The system shall automatically retrieve the applicant's credit score from the Equifax API upon application submission and display it on the loan officer dashboard</w:t>
            </w:r>
          </w:p>
        </w:tc>
        <w:tc>
          <w:tcPr>
            <w:tcW w:type="dxa" w:w="11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Risk &amp; Compliance</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FR-009</w:t>
            </w:r>
          </w:p>
        </w:tc>
        <w:tc>
          <w:tcPr>
            <w:tcW w:type="dxa" w:w="4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allow loan officers to approve or decline an application with a mandatory reason field required for all decisions</w:t>
            </w:r>
          </w:p>
        </w:tc>
        <w:tc>
          <w:tcPr>
            <w:tcW w:type="dxa" w:w="11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Loan Officers</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FR-010</w:t>
            </w:r>
          </w:p>
        </w:tc>
        <w:tc>
          <w:tcPr>
            <w:tcW w:type="dxa" w:w="4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The system shall support a two-level approval workflow where applications flagged by a loan officer are escalated to a senior manager for final decision</w:t>
            </w:r>
          </w:p>
        </w:tc>
        <w:tc>
          <w:tcPr>
            <w:tcW w:type="dxa" w:w="11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Must Have</w:t>
            </w:r>
          </w:p>
        </w:tc>
        <w:tc>
          <w:tcPr>
            <w:tcW w:type="dxa" w:w="20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Sarah Mitchell</w:t>
            </w:r>
          </w:p>
        </w:tc>
      </w:tr>
    </w:tbl>
    <w:p>
      <w:pPr>
        <w:spacing w:before="80" w:after="80"/>
      </w:pPr>
      <w:r>
        <w:t xml:space="preserve"/>
      </w:r>
    </w:p>
    <w:p>
      <w:pPr>
        <w:pStyle w:val="Heading1"/>
        <w:pBdr>
          <w:bottom w:val="single" w:color="0E7490" w:sz="6" w:space="4"/>
        </w:pBdr>
        <w:spacing w:before="360" w:after="160"/>
      </w:pPr>
      <w:r>
        <w:rPr>
          <w:b/>
          <w:bCs/>
        </w:rPr>
        <w:t xml:space="preserve">8. Non-Functional Requirements</w:t>
      </w:r>
    </w:p>
    <w:p>
      <w:pPr>
        <w:spacing w:before="60" w:after="60"/>
      </w:pPr>
      <w:r>
        <w:rPr>
          <w:b w:val="false"/>
          <w:bCs w:val="false"/>
          <w:color w:val="1F2937"/>
          <w:sz w:val="22"/>
          <w:szCs w:val="22"/>
        </w:rPr>
        <w:t xml:space="preserve">Non-functional requirements define how well the system must perform. In banking, compliance NFRs are non-negotiable — failure to meet them can result in regulatory fines or loss of operating license.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800"/>
        <w:gridCol w:w="3160"/>
      </w:tblGrid>
      <w:tr>
        <w:trPr>
          <w:tblHeader/>
        </w:trPr>
        <w:tc>
          <w:tcPr>
            <w:tcW w:type="dxa" w:w="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Req ID</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Category</w:t>
            </w:r>
          </w:p>
        </w:tc>
        <w:tc>
          <w:tcPr>
            <w:tcW w:type="dxa" w:w="3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Requirement</w:t>
            </w:r>
          </w:p>
        </w:tc>
        <w:tc>
          <w:tcPr>
            <w:tcW w:type="dxa" w:w="3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Acceptance Criteria</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NFR-001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Performance</w:t>
            </w:r>
          </w:p>
        </w:tc>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All system pages shall load in under 3 seconds under normal operating conditions</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Load tested at 500 concurrent users pre-launch</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NFR-002</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Scalability</w:t>
            </w:r>
          </w:p>
        </w:tc>
        <w:tc>
          <w:tcPr>
            <w:tcW w:type="dxa" w:w="3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The system shall support up to 500 concurrent users without performance degradation</w:t>
            </w:r>
          </w:p>
        </w:tc>
        <w:tc>
          <w:tcPr>
            <w:tcW w:type="dxa" w:w="3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Load testing results confirm no degradation</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NFR-003</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Availability</w:t>
            </w:r>
          </w:p>
        </w:tc>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maintain 99.9% uptime excluding scheduled maintenance windows</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Monitored via uptime dashboard post-launch</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NFR-004</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Security</w:t>
            </w:r>
          </w:p>
        </w:tc>
        <w:tc>
          <w:tcPr>
            <w:tcW w:type="dxa" w:w="3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All data in transit shall be encrypted using TLS 1.2 or higher</w:t>
            </w:r>
          </w:p>
        </w:tc>
        <w:tc>
          <w:tcPr>
            <w:tcW w:type="dxa" w:w="3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Security audit completed pre-launch</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NFR-005</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Security</w:t>
            </w:r>
          </w:p>
        </w:tc>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comply with PCI-DSS standards for all financial data handling</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Third-party PCI audit passed pre-launch</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NFR-006</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Usability</w:t>
            </w:r>
          </w:p>
        </w:tc>
        <w:tc>
          <w:tcPr>
            <w:tcW w:type="dxa" w:w="3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The loan application form shall be completable by a first-time user in under 15 minutes</w:t>
            </w:r>
          </w:p>
        </w:tc>
        <w:tc>
          <w:tcPr>
            <w:tcW w:type="dxa" w:w="3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Usability testing conducted with 10 first-time users</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NFR-007</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Compliance</w:t>
            </w:r>
          </w:p>
        </w:tc>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adhere to PIPEDA for all customer personal data collection and storage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Legal review sign-off obtained pre-launch</w:t>
            </w:r>
          </w:p>
        </w:tc>
      </w:tr>
      <w:tr>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NFR-008</w:t>
            </w:r>
          </w:p>
        </w:tc>
        <w:tc>
          <w:tcPr>
            <w:tcW w:type="dxa" w:w="1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Compliance</w:t>
            </w:r>
          </w:p>
        </w:tc>
        <w:tc>
          <w:tcPr>
            <w:tcW w:type="dxa" w:w="3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The system shall retain all application records for a minimum of 7 years per OSFI requirements</w:t>
            </w:r>
          </w:p>
        </w:tc>
        <w:tc>
          <w:tcPr>
            <w:tcW w:type="dxa" w:w="3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Confirmed via data retention policy audit</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NFR-009</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Accessibility</w:t>
            </w:r>
          </w:p>
        </w:tc>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shall meet WCAG 2.1 Level AA accessibility standards</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Accessibility audit completed pre-launch</w:t>
            </w:r>
          </w:p>
        </w:tc>
      </w:tr>
    </w:tbl>
    <w:p>
      <w:pPr>
        <w:spacing w:before="80" w:after="80"/>
      </w:pPr>
      <w:r>
        <w:t xml:space="preserve"/>
      </w:r>
    </w:p>
    <w:p>
      <w:pPr>
        <w:pStyle w:val="Heading1"/>
        <w:pBdr>
          <w:bottom w:val="single" w:color="0E7490" w:sz="6" w:space="4"/>
        </w:pBdr>
        <w:spacing w:before="360" w:after="160"/>
      </w:pPr>
      <w:r>
        <w:rPr>
          <w:b/>
          <w:bCs/>
        </w:rPr>
        <w:t xml:space="preserve">9. Assumptions &amp; Constraints</w:t>
      </w:r>
    </w:p>
    <w:p>
      <w:pPr>
        <w:pStyle w:val="Heading2"/>
        <w:spacing w:before="240" w:after="120"/>
      </w:pPr>
      <w:r>
        <w:rPr>
          <w:b/>
          <w:bCs/>
        </w:rPr>
        <w:t xml:space="preserve">9.1 Assumptions</w:t>
      </w:r>
    </w:p>
    <w:p>
      <w:pPr>
        <w:spacing w:before="60" w:after="60"/>
      </w:pPr>
      <w:r>
        <w:rPr>
          <w:b w:val="false"/>
          <w:bCs w:val="false"/>
          <w:color w:val="1F2937"/>
          <w:sz w:val="22"/>
          <w:szCs w:val="22"/>
        </w:rPr>
        <w:t xml:space="preserve">The following assumptions have been made during requirements gathering. If any assumption proves incorrect, a formal risk assessment and change request will be initiated.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160"/>
      </w:tblGrid>
      <w:tr>
        <w:trPr>
          <w:tblHeader/>
        </w:trPr>
        <w:tc>
          <w:tcPr>
            <w:tcW w:type="dxa" w:w="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ID</w:t>
            </w:r>
          </w:p>
        </w:tc>
        <w:tc>
          <w:tcPr>
            <w:tcW w:type="dxa" w:w="4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Assumption</w:t>
            </w:r>
          </w:p>
        </w:tc>
        <w:tc>
          <w:tcPr>
            <w:tcW w:type="dxa" w:w="4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Risk if Incorrect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A-01</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existing Core Banking System (CBS) has available APIs for account verification and will not require major modifications</w:t>
            </w:r>
          </w:p>
        </w:tc>
        <w:tc>
          <w:tcPr>
            <w:tcW w:type="dxa" w:w="4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Integration could be delayed by months and significantly impact budget</w:t>
            </w:r>
          </w:p>
        </w:tc>
      </w:tr>
      <w:tr>
        <w:tc>
          <w:tcPr>
            <w:tcW w:type="dxa" w:w="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A-02</w:t>
            </w:r>
          </w:p>
        </w:tc>
        <w:tc>
          <w:tcPr>
            <w:tcW w:type="dxa" w:w="4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Equifax will provide a sandbox environment for development and testing before go-live</w:t>
            </w:r>
          </w:p>
        </w:tc>
        <w:tc>
          <w:tcPr>
            <w:tcW w:type="dxa" w:w="4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Credit check functionality cannot be tested, delaying the entire project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A-03</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All loan officers have access to a modern web browser and a stable internet connection at their workstations</w:t>
            </w:r>
          </w:p>
        </w:tc>
        <w:tc>
          <w:tcPr>
            <w:tcW w:type="dxa" w:w="4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digital dashboard will not function for affected staff</w:t>
            </w:r>
          </w:p>
        </w:tc>
      </w:tr>
      <w:tr>
        <w:tc>
          <w:tcPr>
            <w:tcW w:type="dxa" w:w="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A-04</w:t>
            </w:r>
          </w:p>
        </w:tc>
        <w:tc>
          <w:tcPr>
            <w:tcW w:type="dxa" w:w="4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Key stakeholders are available for requirements reviews, UAT sessions, and sign-offs throughout the project timeline</w:t>
            </w:r>
          </w:p>
        </w:tc>
        <w:tc>
          <w:tcPr>
            <w:tcW w:type="dxa" w:w="4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Approvals will be delayed, causing timeline slippage</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A-05</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Customers applying for loans have a valid Canadian SIN and government-issued ID for identity verification</w:t>
            </w:r>
          </w:p>
        </w:tc>
        <w:tc>
          <w:tcPr>
            <w:tcW w:type="dxa" w:w="4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eligibility screening module will not work as designed</w:t>
            </w:r>
          </w:p>
        </w:tc>
      </w:tr>
    </w:tbl>
    <w:p>
      <w:pPr>
        <w:spacing w:before="60" w:after="60"/>
      </w:pPr>
      <w:r>
        <w:t xml:space="preserve"/>
      </w:r>
    </w:p>
    <w:p>
      <w:pPr>
        <w:pStyle w:val="Heading2"/>
        <w:spacing w:before="240" w:after="120"/>
      </w:pPr>
      <w:r>
        <w:rPr>
          <w:b/>
          <w:bCs/>
        </w:rPr>
        <w:t xml:space="preserve">9.2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ID</w:t>
            </w:r>
          </w:p>
        </w:tc>
        <w:tc>
          <w:tcPr>
            <w:tcW w:type="dxa" w:w="4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Constraint</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Impact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C-01</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Project must go live by Q1 2026 to align with the bank's fiscal year digital transformation targets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Hard deadline — missing it affects annual strategy commitments</w:t>
            </w:r>
          </w:p>
        </w:tc>
      </w:tr>
      <w:tr>
        <w:tc>
          <w:tcPr>
            <w:tcW w:type="dxa" w:w="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C-02</w:t>
            </w:r>
          </w:p>
        </w:tc>
        <w:tc>
          <w:tcPr>
            <w:tcW w:type="dxa" w:w="4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Total project budget is capped at CAD $850,000</w:t>
            </w:r>
          </w:p>
        </w:tc>
        <w:tc>
          <w:tcPr>
            <w:tcW w:type="dxa" w:w="45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Any scope additions must be evaluated against remaining budget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C-03</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solution must integrate with the existing CBS without replacing or restructuring it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Solution design is constrained to API-based integration only</w:t>
            </w:r>
          </w:p>
        </w:tc>
      </w:tr>
      <w:tr>
        <w:tc>
          <w:tcPr>
            <w:tcW w:type="dxa" w:w="6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C-04</w:t>
            </w:r>
          </w:p>
        </w:tc>
        <w:tc>
          <w:tcPr>
            <w:tcW w:type="dxa" w:w="4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All customer data must be stored on Canadian servers to comply with data sovereignty laws</w:t>
            </w:r>
          </w:p>
        </w:tc>
        <w:tc>
          <w:tcPr>
            <w:tcW w:type="dxa" w:w="45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Cloud hosting must be Canadian-based — limits vendor options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C-05</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system must be accessible on all major browsers — Chrome, Firefox, Safari, and Edge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Cross-browser testing required for all features before go-live</w:t>
            </w:r>
          </w:p>
        </w:tc>
      </w:tr>
    </w:tbl>
    <w:p>
      <w:pPr>
        <w:spacing w:before="80" w:after="80"/>
      </w:pPr>
      <w:r>
        <w:t xml:space="preserve"/>
      </w:r>
    </w:p>
    <w:p>
      <w:pPr>
        <w:pStyle w:val="Heading1"/>
        <w:pBdr>
          <w:bottom w:val="single" w:color="0E7490" w:sz="6" w:space="4"/>
        </w:pBdr>
        <w:spacing w:before="360" w:after="160"/>
      </w:pPr>
      <w:r>
        <w:rPr>
          <w:b/>
          <w:bCs/>
        </w:rPr>
        <w:t xml:space="preserve">10. Risk Register</w:t>
      </w:r>
    </w:p>
    <w:p>
      <w:pPr>
        <w:spacing w:before="60" w:after="60"/>
      </w:pPr>
      <w:r>
        <w:rPr>
          <w:b w:val="false"/>
          <w:bCs w:val="false"/>
          <w:color w:val="1F2937"/>
          <w:sz w:val="22"/>
          <w:szCs w:val="22"/>
        </w:rPr>
        <w:t xml:space="preserve">Risks were identified through stakeholder interviews, assumption analysis, and process review sessions. Each risk includes a concrete mitigation strategy — not just monitoring.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800"/>
        <w:gridCol w:w="900"/>
        <w:gridCol w:w="3260"/>
      </w:tblGrid>
      <w:tr>
        <w:trPr>
          <w:tblHeader/>
        </w:trPr>
        <w:tc>
          <w:tcPr>
            <w:tcW w:type="dxa" w:w="7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Risk ID</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Risk Description</w:t>
            </w:r>
          </w:p>
        </w:tc>
        <w:tc>
          <w:tcPr>
            <w:tcW w:type="dxa" w:w="9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Probability</w:t>
            </w:r>
          </w:p>
        </w:tc>
        <w:tc>
          <w:tcPr>
            <w:tcW w:type="dxa" w:w="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Impact</w:t>
            </w:r>
          </w:p>
        </w:tc>
        <w:tc>
          <w:tcPr>
            <w:tcW w:type="dxa" w:w="9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Severity</w:t>
            </w:r>
          </w:p>
        </w:tc>
        <w:tc>
          <w:tcPr>
            <w:tcW w:type="dxa" w:w="32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Mitigation Strategy</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R-001</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Equifax API integration delayed due to vendor's slow response — blocks credit check functionality</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High</w:t>
            </w:r>
          </w:p>
        </w:tc>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High</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Critical</w:t>
            </w:r>
          </w:p>
        </w:tc>
        <w:tc>
          <w:tcPr>
            <w:tcW w:type="dxa" w:w="3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Engage Equifax in Sprint 1; build manual credit check fallback for pilot phase</w:t>
            </w:r>
          </w:p>
        </w:tc>
      </w:tr>
      <w:tr>
        <w:tc>
          <w:tcPr>
            <w:tcW w:type="dxa" w:w="7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R-002</w:t>
            </w:r>
          </w:p>
        </w:tc>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Stakeholders request additional features mid-project causing scope creep and budget overrun</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w:t>
            </w:r>
          </w:p>
        </w:tc>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Critical</w:t>
            </w:r>
          </w:p>
        </w:tc>
        <w:tc>
          <w:tcPr>
            <w:tcW w:type="dxa" w:w="32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Enforce formal change request process; refer all new requests back to approved BRD scope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R-003</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Key stakeholders unavailable for UAT during year-end period causing sign-off delays</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High</w:t>
            </w:r>
          </w:p>
        </w:tc>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Medium</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High</w:t>
            </w:r>
          </w:p>
        </w:tc>
        <w:tc>
          <w:tcPr>
            <w:tcW w:type="dxa" w:w="3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Schedule UAT sessions 6 weeks in advance; define backup approvers for each stakeholder</w:t>
            </w:r>
          </w:p>
        </w:tc>
      </w:tr>
      <w:tr>
        <w:tc>
          <w:tcPr>
            <w:tcW w:type="dxa" w:w="7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R-004</w:t>
            </w:r>
          </w:p>
        </w:tc>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Core Banking System APIs unavailable or unstable during integration testing</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Low</w:t>
            </w:r>
          </w:p>
        </w:tc>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w:t>
            </w:r>
          </w:p>
        </w:tc>
        <w:tc>
          <w:tcPr>
            <w:tcW w:type="dxa" w:w="32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Conduct API feasibility spike in Sprint 1; escalate immediately to IT Director if blocked</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R-005</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Low customer adoption of digital portal in first 3 months after go-live</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Medium</w:t>
            </w:r>
          </w:p>
        </w:tc>
        <w:tc>
          <w:tcPr>
            <w:tcW w:type="dxa" w:w="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Medium</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Medium</w:t>
            </w:r>
          </w:p>
        </w:tc>
        <w:tc>
          <w:tcPr>
            <w:tcW w:type="dxa" w:w="3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Run customer awareness campaign; offer in-branch digital kiosks as transition support</w:t>
            </w:r>
          </w:p>
        </w:tc>
      </w:tr>
      <w:tr>
        <w:tc>
          <w:tcPr>
            <w:tcW w:type="dxa" w:w="7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R-006</w:t>
            </w:r>
          </w:p>
        </w:tc>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Security vulnerabilities discovered during penetration testing close to go-live</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Low</w:t>
            </w:r>
          </w:p>
        </w:tc>
        <w:tc>
          <w:tcPr>
            <w:tcW w:type="dxa" w:w="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w:t>
            </w:r>
          </w:p>
        </w:tc>
        <w:tc>
          <w:tcPr>
            <w:tcW w:type="dxa" w:w="9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High</w:t>
            </w:r>
          </w:p>
        </w:tc>
        <w:tc>
          <w:tcPr>
            <w:tcW w:type="dxa" w:w="32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Schedule security audit 4 weeks before go-live; allocate contingency budget for fixes</w:t>
            </w:r>
          </w:p>
        </w:tc>
      </w:tr>
    </w:tbl>
    <w:p>
      <w:pPr>
        <w:spacing w:before="80" w:after="80"/>
      </w:pPr>
      <w:r>
        <w:t xml:space="preserve"/>
      </w:r>
    </w:p>
    <w:p>
      <w:pPr>
        <w:pStyle w:val="Heading1"/>
        <w:pBdr>
          <w:bottom w:val="single" w:color="0E7490" w:sz="6" w:space="4"/>
        </w:pBdr>
        <w:spacing w:before="360" w:after="160"/>
      </w:pPr>
      <w:r>
        <w:rPr>
          <w:b/>
          <w:bCs/>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Term / Acronym</w:t>
            </w:r>
          </w:p>
        </w:tc>
        <w:tc>
          <w:tcPr>
            <w:tcW w:type="dxa" w:w="73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Definition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BRD</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Business Requirements Document — a formal document that captures what a business needs from a solution before development begins</w:t>
            </w:r>
          </w:p>
        </w:tc>
      </w:tr>
      <w:tr>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CBS</w:t>
            </w:r>
          </w:p>
        </w:tc>
        <w:tc>
          <w:tcPr>
            <w:tcW w:type="dxa" w:w="73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Core Banking System — NorthBridge Bank's existing legacy software that manages accounts and transactions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CSAT</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Customer Satisfaction Score — a metric derived from post-interaction surveys, measured on a scale of 0–100</w:t>
            </w:r>
          </w:p>
        </w:tc>
      </w:tr>
      <w:tr>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DLAS</w:t>
            </w:r>
          </w:p>
        </w:tc>
        <w:tc>
          <w:tcPr>
            <w:tcW w:type="dxa" w:w="73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Digital Loan Application System — the web-based platform being designed and built for NorthBridge Bank in this project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Equifax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 Canadian credit bureau that provides customer credit scores via API integration</w:t>
            </w:r>
          </w:p>
        </w:tc>
      </w:tr>
      <w:tr>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MoSCoW</w:t>
            </w:r>
          </w:p>
        </w:tc>
        <w:tc>
          <w:tcPr>
            <w:tcW w:type="dxa" w:w="73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A requirements prioritization method — Must Have, Should Have, Could Have, and Won't Have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OSFI</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Office of the Superintendent of Financial Institutions — the Canadian regulator that oversees banks and financial institutions</w:t>
            </w:r>
          </w:p>
        </w:tc>
      </w:tr>
      <w:tr>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PCI-DSS</w:t>
            </w:r>
          </w:p>
        </w:tc>
        <w:tc>
          <w:tcPr>
            <w:tcW w:type="dxa" w:w="73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Payment Card Industry Data Security Standard — security standard for systems that handle financial and payment data</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PIPEDA</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Personal Information Protection and Electronic Documents Act — Canadian federal privacy law governing customer data collection and storage</w:t>
            </w:r>
          </w:p>
        </w:tc>
      </w:tr>
      <w:tr>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TLS</w:t>
            </w:r>
          </w:p>
        </w:tc>
        <w:tc>
          <w:tcPr>
            <w:tcW w:type="dxa" w:w="73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Transport Layer Security — encryption protocol that protects data travelling between a user's browser and the system</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Traceability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The ability to link every requirement back to a specific business problem or stakeholder need</w:t>
            </w:r>
          </w:p>
        </w:tc>
      </w:tr>
      <w:tr>
        <w:tc>
          <w:tcPr>
            <w:tcW w:type="dxa" w:w="2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UAT</w:t>
            </w:r>
          </w:p>
        </w:tc>
        <w:tc>
          <w:tcPr>
            <w:tcW w:type="dxa" w:w="73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User Acceptance Testing — the final testing phase where real end users validate the system meets business requirements before go-live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WCAG</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Web Content Accessibility Guidelines — international standard ensuring digital systems are accessible to users with disabilities</w:t>
            </w:r>
          </w:p>
        </w:tc>
      </w:tr>
    </w:tbl>
    <w:p>
      <w:pPr>
        <w:spacing w:before="80" w:after="80"/>
      </w:pPr>
      <w:r>
        <w:t xml:space="preserve"/>
      </w:r>
    </w:p>
    <w:p>
      <w:pPr>
        <w:pStyle w:val="Heading1"/>
        <w:pBdr>
          <w:bottom w:val="single" w:color="0E7490" w:sz="6" w:space="4"/>
        </w:pBdr>
        <w:spacing w:before="360" w:after="160"/>
      </w:pPr>
      <w:r>
        <w:rPr>
          <w:b/>
          <w:bCs/>
        </w:rPr>
        <w:t xml:space="preserve">12. Document Approval &amp; Sign-off</w:t>
      </w:r>
    </w:p>
    <w:p>
      <w:pPr>
        <w:spacing w:before="60" w:after="60"/>
      </w:pPr>
      <w:r>
        <w:rPr>
          <w:b w:val="false"/>
          <w:bCs w:val="false"/>
          <w:color w:val="1F2937"/>
          <w:sz w:val="22"/>
          <w:szCs w:val="22"/>
        </w:rPr>
        <w:t xml:space="preserve">By signing below, stakeholders confirm they have read and reviewed this Business Requirements Document in full, agree that it accurately represents the business needs for the Digital Loan Application System, and authorize the project team to proceed with solution design and development.</w:t>
      </w:r>
    </w:p>
    <w:p>
      <w:pPr>
        <w:spacing w:before="40" w:after="40"/>
      </w:pPr>
      <w:r>
        <w:t xml:space="preserve"/>
      </w:r>
    </w:p>
    <w:p>
      <w:pPr>
        <w:spacing w:before="60" w:after="60"/>
      </w:pPr>
      <w:r>
        <w:rPr>
          <w:b/>
          <w:bCs/>
          <w:color w:val="1F2937"/>
          <w:sz w:val="22"/>
          <w:szCs w:val="22"/>
        </w:rPr>
        <w:t xml:space="preserve">Any changes requested after sign-off must be submitted via a formal Change Request and approved by the Project Sponsor before implementation.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Name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Role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Department</w:t>
            </w:r>
          </w:p>
        </w:tc>
        <w:tc>
          <w:tcPr>
            <w:tcW w:type="dxa" w:w="2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Signature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b/>
                <w:bCs/>
                <w:color w:val="FFFFFF"/>
                <w:sz w:val="20"/>
                <w:szCs w:val="20"/>
              </w:rPr>
              <w:t xml:space="preserve">Date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Sarah Mitchell</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Project Sponsor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Retail Banking</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______________________</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___________</w:t>
            </w:r>
          </w:p>
        </w:tc>
      </w:tr>
      <w:tr>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James Okafor</w:t>
            </w:r>
          </w:p>
        </w:tc>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Product Owner</w:t>
            </w:r>
          </w:p>
        </w:tc>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Digital Banking</w:t>
            </w:r>
          </w:p>
        </w:tc>
        <w:tc>
          <w:tcPr>
            <w:tcW w:type="dxa" w:w="2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______________________</w:t>
            </w:r>
          </w:p>
        </w:tc>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___________</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[Senior Manager]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Approving Manager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Retail Banking</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______________________</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___________</w:t>
            </w:r>
          </w:p>
        </w:tc>
      </w:tr>
      <w:tr>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[Risk Officer]</w:t>
            </w:r>
          </w:p>
        </w:tc>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Compliance Reviewer</w:t>
            </w:r>
          </w:p>
        </w:tc>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Risk &amp; Compliance</w:t>
            </w:r>
          </w:p>
        </w:tc>
        <w:tc>
          <w:tcPr>
            <w:tcW w:type="dxa" w:w="21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______________________</w:t>
            </w:r>
          </w:p>
        </w:tc>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color w:val="1F2937"/>
                <w:sz w:val="20"/>
                <w:szCs w:val="20"/>
              </w:rPr>
              <w:t xml:space="preserve">___________</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Ruchitha Yathirajulu</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Business Analyst — Author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IT / PMO</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______________________</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color w:val="1F2937"/>
                <w:sz w:val="20"/>
                <w:szCs w:val="20"/>
              </w:rPr>
              <w:t xml:space="preserve">___________</w:t>
            </w:r>
          </w:p>
        </w:tc>
      </w:tr>
    </w:tbl>
    <w:p>
      <w:pPr>
        <w:spacing w:before="80" w:after="80"/>
      </w:pPr>
      <w:r>
        <w:t xml:space="preserve"/>
      </w:r>
    </w:p>
    <w:p>
      <w:pPr>
        <w:pBdr>
          <w:top w:val="single" w:color="CBD5E1" w:sz="4" w:space="6"/>
        </w:pBdr>
        <w:jc w:val="center"/>
      </w:pPr>
      <w:r>
        <w:rPr>
          <w:i/>
          <w:iCs/>
          <w:color w:val="6B7280"/>
          <w:sz w:val="18"/>
          <w:szCs w:val="18"/>
        </w:rPr>
        <w:t xml:space="preserve">Document End  |  NorthBridge Bank — Digital Loan Application System BRD v1.0  |  Personal Case Study — Ruchitha Yathirajulu</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color w:val="6B7280"/>
        <w:sz w:val="16"/>
        <w:szCs w:val="16"/>
      </w:rPr>
      <w:t xml:space="preserve">Confidential — NorthBridge Bank Internal Use Only  |  Personal Case Study — Ruchitha Yathirajulu</w:t>
    </w:r>
    <w:r>
      <w:rPr>
        <w:color w:val="6B7280"/>
        <w:sz w:val="16"/>
        <w:szCs w:val="16"/>
      </w:rPr>
      <w:t xml:space="preserve">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6" w:space="4"/>
      </w:pBdr>
      <w:tabs>
        <w:tab w:val="right" w:pos="9360"/>
      </w:tabs>
    </w:pPr>
    <w:r>
      <w:rPr>
        <w:b/>
        <w:bCs/>
        <w:color w:val="1B3A6B"/>
        <w:sz w:val="18"/>
        <w:szCs w:val="18"/>
      </w:rPr>
      <w:t xml:space="preserve">BUSINESS REQUIREMENTS DOCUMENT</w:t>
    </w:r>
    <w:r>
      <w:rPr>
        <w:color w:val="6B7280"/>
        <w:sz w:val="18"/>
        <w:szCs w:val="18"/>
      </w:rPr>
      <w:t xml:space="preserve">		NorthBridge Bank — Digital Loan Application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E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2026-03-09T21:14:50.329Z</dcterms:created>
  <dcterms:modified xsi:type="dcterms:W3CDTF">2026-03-09T21:14:50.330Z</dcterms:modified>
</cp:coreProperties>
</file>

<file path=docProps/custom.xml><?xml version="1.0" encoding="utf-8"?>
<Properties xmlns="http://schemas.openxmlformats.org/officeDocument/2006/custom-properties" xmlns:vt="http://schemas.openxmlformats.org/officeDocument/2006/docPropsVTypes"/>
</file>