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3216"/>
        <w:gridCol w:w="3216"/>
        <w:gridCol w:w="3216"/>
      </w:tblGrid>
      <w:tr>
        <w:trPr>
          <w:trHeight w:val="567" w:hRule="exact"/>
        </w:trPr>
        <w:tc>
          <w:tcPr>
            <w:tcW w:type="dxa" w:w="5184"/>
            <w:shd w:val="clear" w:color="auto" w:fill="1A3A6A"/>
          </w:tcPr>
          <w:p>
            <w:pPr>
              <w:jc w:val="center"/>
            </w:pPr>
            <w:r>
              <w:rPr>
                <w:rFonts w:ascii="Calibri" w:hAnsi="Calibri"/>
                <w:b/>
                <w:color w:val="FFFFFF"/>
                <w:sz w:val="32"/>
              </w:rPr>
              <w:t>Fichas de Trabajo</w:t>
            </w:r>
          </w:p>
        </w:tc>
        <w:tc>
          <w:tcPr>
            <w:tcW w:type="dxa" w:w="3456"/>
            <w:shd w:val="clear" w:color="auto" w:fill="1A3A6A"/>
          </w:tcPr>
          <w:p>
            <w:pPr>
              <w:jc w:val="center"/>
            </w:pPr>
            <w:r>
              <w:drawing>
                <wp:inline xmlns:a="http://schemas.openxmlformats.org/drawingml/2006/main" xmlns:pic="http://schemas.openxmlformats.org/drawingml/2006/picture">
                  <wp:extent cx="1417320" cy="523383"/>
                  <wp:docPr id="1" name="Picture 1"/>
                  <wp:cNvGraphicFramePr>
                    <a:graphicFrameLocks noChangeAspect="1"/>
                  </wp:cNvGraphicFramePr>
                  <a:graphic>
                    <a:graphicData uri="http://schemas.openxmlformats.org/drawingml/2006/picture">
                      <pic:pic>
                        <pic:nvPicPr>
                          <pic:cNvPr id="0" name="logo_laspalmas.png"/>
                          <pic:cNvPicPr/>
                        </pic:nvPicPr>
                        <pic:blipFill>
                          <a:blip r:embed="rId9"/>
                          <a:stretch>
                            <a:fillRect/>
                          </a:stretch>
                        </pic:blipFill>
                        <pic:spPr>
                          <a:xfrm>
                            <a:off x="0" y="0"/>
                            <a:ext cx="1417320" cy="523383"/>
                          </a:xfrm>
                          <a:prstGeom prst="rect"/>
                        </pic:spPr>
                      </pic:pic>
                    </a:graphicData>
                  </a:graphic>
                </wp:inline>
              </w:drawing>
            </w:r>
          </w:p>
        </w:tc>
        <w:tc>
          <w:tcPr>
            <w:tcW w:type="dxa" w:w="2160"/>
            <w:shd w:val="clear" w:color="auto" w:fill="1A3A6A"/>
          </w:tcPr>
          <w:p>
            <w:pPr>
              <w:jc w:val="center"/>
            </w:pPr>
            <w:r>
              <w:rPr>
                <w:rFonts w:ascii="Calibri" w:hAnsi="Calibri"/>
                <w:b/>
                <w:color w:val="FFFFFF"/>
                <w:sz w:val="28"/>
              </w:rPr>
              <w:t>5to  PRIMARIA</w:t>
            </w:r>
          </w:p>
        </w:tc>
      </w:tr>
      <w:tr>
        <w:trPr>
          <w:trHeight w:val="311" w:hRule="exact"/>
        </w:trPr>
        <w:tc>
          <w:tcPr>
            <w:tcW w:type="dxa" w:w="9648"/>
            <w:gridSpan w:val="3"/>
            <w:shd w:val="clear" w:color="auto" w:fill="143060"/>
          </w:tcPr>
          <w:p>
            <w:pPr>
              <w:jc w:val="center"/>
            </w:pPr>
            <w:r>
              <w:rPr>
                <w:rFonts w:ascii="Calibri" w:hAnsi="Calibri"/>
                <w:b/>
                <w:color w:val="FFFFFF"/>
                <w:sz w:val="24"/>
              </w:rPr>
              <w:t>FICHA GAMIFICADA</w:t>
            </w:r>
          </w:p>
        </w:tc>
      </w:tr>
    </w:tbl>
    <w:p/>
    <w:p>
      <w:pPr>
        <w:jc w:val="center"/>
        <w:pBdr>
          <w:bottom w:val="single" w:sz="24" w:space="6" w:color="1A3A6A"/>
        </w:pBdr>
      </w:pPr>
      <w:r>
        <w:rPr>
          <w:rFonts w:ascii="Impact" w:hAnsi="Impact"/>
          <w:b/>
          <w:color w:val="1A3A6A"/>
          <w:sz w:val="44"/>
        </w:rPr>
        <w:t>EXPONER UN TEMA</w:t>
      </w:r>
    </w:p>
    <w:p/>
    <w:p>
      <w:pPr>
        <w:spacing w:after="80"/>
      </w:pPr>
      <w:r>
        <w:rPr>
          <w:rFonts w:ascii="Calibri" w:hAnsi="Calibri"/>
          <w:b w:val="0"/>
          <w:i/>
          <w:color w:val="1A1A1A"/>
          <w:sz w:val="22"/>
        </w:rPr>
        <w:t>¡Hola, aprendiz de orador! Has sido convocado para unirte a la legendaria Liga de los Grandes Oradores. Para ganar tu insignia de Maestro de la Palabra, deberás superar cinco misiones de entrenamiento. Descubrirás cómo estructurar tus ideas, dominar el tono de tu voz, utilizar un lenguaje corporal de impacto y crear mapas mágicos para que el mundo escuche lo que tienes que decir. ¡El escenario te espera, que comience la aventura!</w:t>
      </w:r>
    </w:p>
    <w:p/>
    <w:tbl>
      <w:tblPr>
        <w:tblStyle w:val="TableGrid"/>
        <w:tblW w:type="auto" w:w="0"/>
        <w:jc w:val="center"/>
        <w:tblLook w:firstColumn="1" w:firstRow="1" w:lastColumn="0" w:lastRow="0" w:noHBand="0" w:noVBand="1" w:val="04A0"/>
      </w:tblPr>
      <w:tblGrid>
        <w:gridCol w:w="9648"/>
      </w:tblGrid>
      <w:tr>
        <w:trPr>
          <w:trHeight w:val="272" w:hRule="exact"/>
        </w:trPr>
        <w:tc>
          <w:tcPr>
            <w:tcW w:type="dxa" w:w="9648"/>
            <w:shd w:val="clear" w:color="auto" w:fill="2E6DA4"/>
          </w:tcPr>
          <w:p>
            <w:pPr>
              <w:jc w:val="center"/>
            </w:pPr>
            <w:r>
              <w:rPr>
                <w:rFonts w:ascii="Calibri" w:hAnsi="Calibri"/>
                <w:b/>
                <w:color w:val="FFFFFF"/>
                <w:sz w:val="24"/>
              </w:rPr>
              <w:t>Misión 1: El Oráculo</w:t>
            </w:r>
          </w:p>
        </w:tc>
      </w:tr>
    </w:tbl>
    <w:p/>
    <w:p>
      <w:pPr>
        <w:spacing w:after="80"/>
      </w:pPr>
      <w:r>
        <w:rPr>
          <w:rFonts w:ascii="Calibri" w:hAnsi="Calibri"/>
          <w:b/>
          <w:i w:val="0"/>
          <w:color w:val="1A1A1A"/>
          <w:sz w:val="22"/>
        </w:rPr>
        <w:t>¿Cuáles son las tres partes fundamentales que estructuran una buena exposición?</w:t>
      </w:r>
    </w:p>
    <w:p>
      <w:pPr>
        <w:pStyle w:val="ListBullet"/>
      </w:pPr>
      <w:r>
        <w:rPr>
          <w:rFonts w:ascii="Calibri" w:hAnsi="Calibri"/>
          <w:color w:val="1A3A6A"/>
          <w:sz w:val="22"/>
        </w:rPr>
        <w:t>A) Introducción, desarrollo y cierre</w:t>
      </w:r>
    </w:p>
    <w:p>
      <w:pPr>
        <w:pStyle w:val="ListBullet"/>
      </w:pPr>
      <w:r>
        <w:rPr>
          <w:rFonts w:ascii="Calibri" w:hAnsi="Calibri"/>
          <w:color w:val="CC2200"/>
          <w:sz w:val="22"/>
        </w:rPr>
        <w:t>B) Dibujos, gritos y silencios</w:t>
      </w:r>
    </w:p>
    <w:p>
      <w:pPr>
        <w:pStyle w:val="ListBullet"/>
      </w:pPr>
      <w:r>
        <w:rPr>
          <w:rFonts w:ascii="Calibri" w:hAnsi="Calibri"/>
          <w:color w:val="1B5E20"/>
          <w:sz w:val="22"/>
        </w:rPr>
        <w:t>C) Saludo, juegos y despedida rápida</w:t>
      </w:r>
    </w:p>
    <w:p/>
    <w:p>
      <w:pPr>
        <w:spacing w:after="80"/>
      </w:pPr>
      <w:r>
        <w:rPr>
          <w:rFonts w:ascii="Calibri" w:hAnsi="Calibri"/>
          <w:b/>
          <w:i w:val="0"/>
          <w:color w:val="1A1A1A"/>
          <w:sz w:val="22"/>
        </w:rPr>
        <w:t>¿Qué debes hacer con tu lenguaje corporal para conectar de verdad con el público?</w:t>
      </w:r>
    </w:p>
    <w:p>
      <w:pPr>
        <w:pStyle w:val="ListBullet"/>
      </w:pPr>
      <w:r>
        <w:rPr>
          <w:rFonts w:ascii="Calibri" w:hAnsi="Calibri"/>
          <w:color w:val="1A3A6A"/>
          <w:sz w:val="22"/>
        </w:rPr>
        <w:t>A) Mirar al suelo y esconder las manos en los bolsillos</w:t>
      </w:r>
    </w:p>
    <w:p>
      <w:pPr>
        <w:pStyle w:val="ListBullet"/>
      </w:pPr>
      <w:r>
        <w:rPr>
          <w:rFonts w:ascii="Calibri" w:hAnsi="Calibri"/>
          <w:color w:val="CC2200"/>
          <w:sz w:val="22"/>
        </w:rPr>
        <w:t>B) Darle la espalda a los compañeros para leer las diapositivas completas</w:t>
      </w:r>
    </w:p>
    <w:p>
      <w:pPr>
        <w:pStyle w:val="ListBullet"/>
      </w:pPr>
      <w:r>
        <w:rPr>
          <w:rFonts w:ascii="Calibri" w:hAnsi="Calibri"/>
          <w:color w:val="1B5E20"/>
          <w:sz w:val="22"/>
        </w:rPr>
        <w:t>C) Mantener una postura recta, hacer gestos con las manos y mantener contacto visual</w:t>
      </w:r>
    </w:p>
    <w:p/>
    <w:tbl>
      <w:tblPr>
        <w:tblStyle w:val="TableGrid"/>
        <w:tblW w:type="auto" w:w="0"/>
        <w:jc w:val="center"/>
        <w:tblLook w:firstColumn="1" w:firstRow="1" w:lastColumn="0" w:lastRow="0" w:noHBand="0" w:noVBand="1" w:val="04A0"/>
      </w:tblPr>
      <w:tblGrid>
        <w:gridCol w:w="9648"/>
      </w:tblGrid>
      <w:tr>
        <w:trPr>
          <w:trHeight w:val="272" w:hRule="exact"/>
        </w:trPr>
        <w:tc>
          <w:tcPr>
            <w:tcW w:type="dxa" w:w="9648"/>
            <w:shd w:val="clear" w:color="auto" w:fill="007A6E"/>
          </w:tcPr>
          <w:p>
            <w:pPr>
              <w:jc w:val="center"/>
            </w:pPr>
            <w:r>
              <w:rPr>
                <w:rFonts w:ascii="Calibri" w:hAnsi="Calibri"/>
                <w:b/>
                <w:color w:val="FFFFFF"/>
                <w:sz w:val="24"/>
              </w:rPr>
              <w:t>Misión 2: El Puente</w:t>
            </w:r>
          </w:p>
        </w:tc>
      </w:tr>
    </w:tbl>
    <w:p/>
    <w:tbl>
      <w:tblPr>
        <w:tblStyle w:val="TableGrid"/>
        <w:tblW w:type="auto" w:w="0"/>
        <w:tblLook w:firstColumn="1" w:firstRow="1" w:lastColumn="0" w:lastRow="0" w:noHBand="0" w:noVBand="1" w:val="04A0"/>
      </w:tblPr>
      <w:tblGrid>
        <w:gridCol w:w="4824"/>
        <w:gridCol w:w="4824"/>
      </w:tblGrid>
      <w:tr>
        <w:tc>
          <w:tcPr>
            <w:tcW w:type="dxa" w:w="4824"/>
            <w:shd w:val="clear" w:color="auto" w:fill="007A6E"/>
          </w:tcPr>
          <w:p>
            <w:r>
              <w:rPr>
                <w:rFonts w:ascii="Calibri" w:hAnsi="Calibri"/>
                <w:b/>
                <w:color w:val="FFFFFF"/>
                <w:sz w:val="22"/>
              </w:rPr>
              <w:t>PALABRA</w:t>
            </w:r>
          </w:p>
        </w:tc>
        <w:tc>
          <w:tcPr>
            <w:tcW w:type="dxa" w:w="4824"/>
            <w:shd w:val="clear" w:color="auto" w:fill="007A6E"/>
          </w:tcPr>
          <w:p>
            <w:r>
              <w:rPr>
                <w:rFonts w:ascii="Calibri" w:hAnsi="Calibri"/>
                <w:b/>
                <w:color w:val="FFFFFF"/>
                <w:sz w:val="22"/>
              </w:rPr>
              <w:t>SIGNIFICADO</w:t>
            </w:r>
          </w:p>
        </w:tc>
      </w:tr>
      <w:tr>
        <w:tc>
          <w:tcPr>
            <w:tcW w:type="dxa" w:w="4824"/>
            <w:shd w:val="clear" w:color="auto" w:fill="FFFFFF"/>
          </w:tcPr>
          <w:p>
            <w:r>
              <w:rPr>
                <w:rFonts w:ascii="Calibri" w:hAnsi="Calibri"/>
                <w:color w:val="1A1A1A"/>
                <w:sz w:val="22"/>
              </w:rPr>
              <w:t>Tono y volumen de voz</w:t>
            </w:r>
          </w:p>
        </w:tc>
        <w:tc>
          <w:tcPr>
            <w:tcW w:type="dxa" w:w="4824"/>
            <w:shd w:val="clear" w:color="auto" w:fill="FFFFFF"/>
          </w:tcPr>
          <w:p>
            <w:r>
              <w:rPr>
                <w:rFonts w:ascii="Calibri" w:hAnsi="Calibri"/>
                <w:color w:val="1A1A1A"/>
                <w:sz w:val="22"/>
              </w:rPr>
              <w:t>La fuerza y variación que le damos a nuestras palabras para que todos nos escuchen con claridad y no se aburran.</w:t>
            </w:r>
          </w:p>
        </w:tc>
      </w:tr>
      <w:tr>
        <w:tc>
          <w:tcPr>
            <w:tcW w:type="dxa" w:w="4824"/>
            <w:shd w:val="clear" w:color="auto" w:fill="F4F6F9"/>
          </w:tcPr>
          <w:p>
            <w:r>
              <w:rPr>
                <w:rFonts w:ascii="Calibri" w:hAnsi="Calibri"/>
                <w:color w:val="1A1A1A"/>
                <w:sz w:val="22"/>
              </w:rPr>
              <w:t>Contacto visual</w:t>
            </w:r>
          </w:p>
        </w:tc>
        <w:tc>
          <w:tcPr>
            <w:tcW w:type="dxa" w:w="4824"/>
            <w:shd w:val="clear" w:color="auto" w:fill="F4F6F9"/>
          </w:tcPr>
          <w:p>
            <w:r>
              <w:rPr>
                <w:rFonts w:ascii="Calibri" w:hAnsi="Calibri"/>
                <w:color w:val="1A1A1A"/>
                <w:sz w:val="22"/>
              </w:rPr>
              <w:t>Mirar a los ojos a las personas del público de forma constante para que sientan que les hablamos directamente a ellos.</w:t>
            </w:r>
          </w:p>
        </w:tc>
      </w:tr>
      <w:tr>
        <w:tc>
          <w:tcPr>
            <w:tcW w:type="dxa" w:w="4824"/>
            <w:shd w:val="clear" w:color="auto" w:fill="FFFFFF"/>
          </w:tcPr>
          <w:p>
            <w:r>
              <w:rPr>
                <w:rFonts w:ascii="Calibri" w:hAnsi="Calibri"/>
                <w:color w:val="1A1A1A"/>
                <w:sz w:val="22"/>
              </w:rPr>
              <w:t>Material de apoyo visual</w:t>
            </w:r>
          </w:p>
        </w:tc>
        <w:tc>
          <w:tcPr>
            <w:tcW w:type="dxa" w:w="4824"/>
            <w:shd w:val="clear" w:color="auto" w:fill="FFFFFF"/>
          </w:tcPr>
          <w:p>
            <w:r>
              <w:rPr>
                <w:rFonts w:ascii="Calibri" w:hAnsi="Calibri"/>
                <w:color w:val="1A1A1A"/>
                <w:sz w:val="22"/>
              </w:rPr>
              <w:t>Boceto, mapa mental o cartel con palabras clave y dibujos que ayuda a entender mejor la exposición.</w:t>
            </w:r>
          </w:p>
        </w:tc>
      </w:tr>
      <w:tr>
        <w:tc>
          <w:tcPr>
            <w:tcW w:type="dxa" w:w="4824"/>
            <w:shd w:val="clear" w:color="auto" w:fill="F4F6F9"/>
          </w:tcPr>
          <w:p>
            <w:r>
              <w:rPr>
                <w:rFonts w:ascii="Calibri" w:hAnsi="Calibri"/>
                <w:color w:val="1A1A1A"/>
                <w:sz w:val="22"/>
              </w:rPr>
              <w:t>Estructura</w:t>
            </w:r>
          </w:p>
        </w:tc>
        <w:tc>
          <w:tcPr>
            <w:tcW w:type="dxa" w:w="4824"/>
            <w:shd w:val="clear" w:color="auto" w:fill="F4F6F9"/>
          </w:tcPr>
          <w:p>
            <w:r>
              <w:rPr>
                <w:rFonts w:ascii="Calibri" w:hAnsi="Calibri"/>
                <w:color w:val="1A1A1A"/>
                <w:sz w:val="22"/>
              </w:rPr>
              <w:t>El orden en el que presentamos nuestras ideas para que tengan sentido de principio a fin.</w:t>
            </w:r>
          </w:p>
        </w:tc>
      </w:tr>
    </w:tbl>
    <w:p/>
    <w:tbl>
      <w:tblPr>
        <w:tblStyle w:val="TableGrid"/>
        <w:tblW w:type="auto" w:w="0"/>
        <w:jc w:val="center"/>
        <w:tblLook w:firstColumn="1" w:firstRow="1" w:lastColumn="0" w:lastRow="0" w:noHBand="0" w:noVBand="1" w:val="04A0"/>
      </w:tblPr>
      <w:tblGrid>
        <w:gridCol w:w="9648"/>
      </w:tblGrid>
      <w:tr>
        <w:trPr>
          <w:trHeight w:val="272" w:hRule="exact"/>
        </w:trPr>
        <w:tc>
          <w:tcPr>
            <w:tcW w:type="dxa" w:w="9648"/>
            <w:shd w:val="clear" w:color="auto" w:fill="1A5276"/>
          </w:tcPr>
          <w:p>
            <w:pPr>
              <w:jc w:val="center"/>
            </w:pPr>
            <w:r>
              <w:rPr>
                <w:rFonts w:ascii="Calibri" w:hAnsi="Calibri"/>
                <w:b/>
                <w:color w:val="FFFFFF"/>
                <w:sz w:val="24"/>
              </w:rPr>
              <w:t>Misión 3: La Sopa</w:t>
            </w:r>
          </w:p>
        </w:tc>
      </w:tr>
    </w:tbl>
    <w:p/>
    <w:p>
      <w:pPr>
        <w:pStyle w:val="ListBullet"/>
      </w:pPr>
      <w:r>
        <w:rPr>
          <w:rFonts w:ascii="Calibri" w:hAnsi="Calibri"/>
          <w:color w:val="1A1A1A"/>
          <w:sz w:val="22"/>
        </w:rPr>
        <w:t>INTRODUCCION</w:t>
      </w:r>
    </w:p>
    <w:p>
      <w:pPr>
        <w:pStyle w:val="ListBullet"/>
      </w:pPr>
      <w:r>
        <w:rPr>
          <w:rFonts w:ascii="Calibri" w:hAnsi="Calibri"/>
          <w:color w:val="1A1A1A"/>
          <w:sz w:val="22"/>
        </w:rPr>
        <w:t>DESARROLLO</w:t>
      </w:r>
    </w:p>
    <w:p>
      <w:pPr>
        <w:pStyle w:val="ListBullet"/>
      </w:pPr>
      <w:r>
        <w:rPr>
          <w:rFonts w:ascii="Calibri" w:hAnsi="Calibri"/>
          <w:color w:val="1A1A1A"/>
          <w:sz w:val="22"/>
        </w:rPr>
        <w:t>CIERRE</w:t>
      </w:r>
    </w:p>
    <w:p>
      <w:pPr>
        <w:pStyle w:val="ListBullet"/>
      </w:pPr>
      <w:r>
        <w:rPr>
          <w:rFonts w:ascii="Calibri" w:hAnsi="Calibri"/>
          <w:color w:val="1A1A1A"/>
          <w:sz w:val="22"/>
        </w:rPr>
        <w:t>VOLUMEN</w:t>
      </w:r>
    </w:p>
    <w:p>
      <w:pPr>
        <w:pStyle w:val="ListBullet"/>
      </w:pPr>
      <w:r>
        <w:rPr>
          <w:rFonts w:ascii="Calibri" w:hAnsi="Calibri"/>
          <w:color w:val="1A1A1A"/>
          <w:sz w:val="22"/>
        </w:rPr>
        <w:t>POSTURA</w:t>
      </w:r>
    </w:p>
    <w:p>
      <w:pPr>
        <w:pStyle w:val="ListBullet"/>
      </w:pPr>
      <w:r>
        <w:rPr>
          <w:rFonts w:ascii="Calibri" w:hAnsi="Calibri"/>
          <w:color w:val="1A1A1A"/>
          <w:sz w:val="22"/>
        </w:rPr>
        <w:t>VISUAL</w:t>
      </w:r>
    </w:p>
    <w:p>
      <w:pPr>
        <w:pStyle w:val="ListBullet"/>
      </w:pPr>
      <w:r>
        <w:rPr>
          <w:rFonts w:ascii="Calibri" w:hAnsi="Calibri"/>
          <w:color w:val="1A1A1A"/>
          <w:sz w:val="22"/>
        </w:rPr>
        <w:t>APOYO</w:t>
      </w:r>
    </w:p>
    <w:p>
      <w:pPr>
        <w:pStyle w:val="ListBullet"/>
      </w:pPr>
      <w:r>
        <w:rPr>
          <w:rFonts w:ascii="Calibri" w:hAnsi="Calibri"/>
          <w:color w:val="1A1A1A"/>
          <w:sz w:val="22"/>
        </w:rPr>
        <w:t>MIRADA</w:t>
      </w:r>
    </w:p>
    <w:p/>
    <w:tbl>
      <w:tblPr>
        <w:tblStyle w:val="TableGrid"/>
        <w:tblW w:type="auto" w:w="0"/>
        <w:jc w:val="center"/>
        <w:tblLook w:firstColumn="1" w:firstRow="1" w:lastColumn="0" w:lastRow="0" w:noHBand="0" w:noVBand="1" w:val="04A0"/>
      </w:tblPr>
      <w:tblGrid>
        <w:gridCol w:w="9648"/>
      </w:tblGrid>
      <w:tr>
        <w:trPr>
          <w:trHeight w:val="272" w:hRule="exact"/>
        </w:trPr>
        <w:tc>
          <w:tcPr>
            <w:tcW w:type="dxa" w:w="9648"/>
            <w:shd w:val="clear" w:color="auto" w:fill="6A3D9A"/>
          </w:tcPr>
          <w:p>
            <w:pPr>
              <w:jc w:val="center"/>
            </w:pPr>
            <w:r>
              <w:rPr>
                <w:rFonts w:ascii="Calibri" w:hAnsi="Calibri"/>
                <w:b/>
                <w:color w:val="FFFFFF"/>
                <w:sz w:val="24"/>
              </w:rPr>
              <w:t>Misión 4: El Pergamino</w:t>
            </w:r>
          </w:p>
        </w:tc>
      </w:tr>
    </w:tbl>
    <w:p/>
    <w:p>
      <w:pPr>
        <w:spacing w:after="80"/>
      </w:pPr>
      <w:r>
        <w:rPr>
          <w:rFonts w:ascii="Calibri" w:hAnsi="Calibri"/>
          <w:b w:val="0"/>
          <w:i/>
          <w:color w:val="1A1A1A"/>
          <w:sz w:val="22"/>
        </w:rPr>
        <w:t>Para una gran exposición, empezamos captando la atención en la __________, luego explicamos el tema central en el __________ y terminamos despidiéndonos con un gran __________. Nunca debemos olvidar usar un __________ de voz adecuado para llegar a todos.</w:t>
      </w:r>
    </w:p>
    <w:p>
      <w:pPr>
        <w:spacing w:after="80"/>
      </w:pPr>
      <w:r>
        <w:rPr>
          <w:rFonts w:ascii="Calibri" w:hAnsi="Calibri"/>
          <w:b/>
          <w:i w:val="0"/>
          <w:color w:val="1A1A1A"/>
          <w:sz w:val="22"/>
        </w:rPr>
        <w:t>Palabras secretas: introducción, desarrollo, cierre, volumen</w:t>
      </w:r>
    </w:p>
    <w:p/>
    <w:tbl>
      <w:tblPr>
        <w:tblStyle w:val="TableGrid"/>
        <w:tblW w:type="auto" w:w="0"/>
        <w:jc w:val="center"/>
        <w:tblLook w:firstColumn="1" w:firstRow="1" w:lastColumn="0" w:lastRow="0" w:noHBand="0" w:noVBand="1" w:val="04A0"/>
      </w:tblPr>
      <w:tblGrid>
        <w:gridCol w:w="9648"/>
      </w:tblGrid>
      <w:tr>
        <w:trPr>
          <w:trHeight w:val="272" w:hRule="exact"/>
        </w:trPr>
        <w:tc>
          <w:tcPr>
            <w:tcW w:type="dxa" w:w="9648"/>
            <w:shd w:val="clear" w:color="auto" w:fill="CC5500"/>
          </w:tcPr>
          <w:p>
            <w:pPr>
              <w:jc w:val="center"/>
            </w:pPr>
            <w:r>
              <w:rPr>
                <w:rFonts w:ascii="Calibri" w:hAnsi="Calibri"/>
                <w:b/>
                <w:color w:val="FFFFFF"/>
                <w:sz w:val="24"/>
              </w:rPr>
              <w:t>Misión 5: El Lienzo</w:t>
            </w:r>
          </w:p>
        </w:tc>
      </w:tr>
    </w:tbl>
    <w:p/>
    <w:p>
      <w:pPr>
        <w:spacing w:after="80"/>
      </w:pPr>
      <w:r>
        <w:rPr>
          <w:rFonts w:ascii="Calibri" w:hAnsi="Calibri"/>
          <w:b w:val="0"/>
          <w:i w:val="0"/>
          <w:color w:val="1A1A1A"/>
          <w:sz w:val="22"/>
        </w:rPr>
        <w:t>¡Eres el Diseñador Visual! Dibuja un boceto rápido o un mapa mental sobre tu tema favorito (animales, deportes, el espacio). Utiliza palabras clave cortas, viñetas y dibujos grandes. Este será tu material de apoyo visual. ¡Prepárate para practicar con él manteniendo tu espalda recta!</w:t>
      </w:r>
    </w:p>
    <w:p/>
    <w:tbl>
      <w:tblPr>
        <w:tblStyle w:val="TableGrid"/>
        <w:tblW w:type="auto" w:w="0"/>
        <w:jc w:val="center"/>
        <w:tblLook w:firstColumn="1" w:firstRow="1" w:lastColumn="0" w:lastRow="0" w:noHBand="0" w:noVBand="1" w:val="04A0"/>
      </w:tblPr>
      <w:tblGrid>
        <w:gridCol w:w="9648"/>
      </w:tblGrid>
      <w:tr>
        <w:trPr>
          <w:trHeight w:val="272" w:hRule="exact"/>
        </w:trPr>
        <w:tc>
          <w:tcPr>
            <w:tcW w:type="dxa" w:w="9648"/>
            <w:shd w:val="clear" w:color="auto" w:fill="1A3A6A"/>
          </w:tcPr>
          <w:p>
            <w:pPr>
              <w:jc w:val="center"/>
            </w:pPr>
            <w:r>
              <w:rPr>
                <w:rFonts w:ascii="Calibri" w:hAnsi="Calibri"/>
                <w:b/>
                <w:color w:val="FFFFFF"/>
                <w:sz w:val="24"/>
              </w:rPr>
              <w:t>Adaptaciones por Misión</w:t>
            </w:r>
          </w:p>
        </w:tc>
      </w:tr>
    </w:tbl>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1A3A6A"/>
          </w:tcPr>
          <w:p>
            <w:r>
              <w:rPr>
                <w:rFonts w:ascii="Calibri" w:hAnsi="Calibri"/>
                <w:b/>
                <w:color w:val="FFFFFF"/>
                <w:sz w:val="22"/>
              </w:rPr>
              <w:t>MISION</w:t>
            </w:r>
          </w:p>
        </w:tc>
        <w:tc>
          <w:tcPr>
            <w:tcW w:type="dxa" w:w="3216"/>
            <w:shd w:val="clear" w:color="auto" w:fill="1A3A6A"/>
          </w:tcPr>
          <w:p>
            <w:r>
              <w:rPr>
                <w:rFonts w:ascii="Calibri" w:hAnsi="Calibri"/>
                <w:b/>
                <w:color w:val="FFFFFF"/>
                <w:sz w:val="22"/>
              </w:rPr>
              <w:t>DIAGNOSTICO</w:t>
            </w:r>
          </w:p>
        </w:tc>
        <w:tc>
          <w:tcPr>
            <w:tcW w:type="dxa" w:w="3216"/>
            <w:shd w:val="clear" w:color="auto" w:fill="1A3A6A"/>
          </w:tcPr>
          <w:p>
            <w:r>
              <w:rPr>
                <w:rFonts w:ascii="Calibri" w:hAnsi="Calibri"/>
                <w:b/>
                <w:color w:val="FFFFFF"/>
                <w:sz w:val="22"/>
              </w:rPr>
              <w:t>AJUSTE</w:t>
            </w:r>
          </w:p>
        </w:tc>
      </w:tr>
      <w:tr>
        <w:tc>
          <w:tcPr>
            <w:tcW w:type="dxa" w:w="3216"/>
            <w:shd w:val="clear" w:color="auto" w:fill="FFFFFF"/>
          </w:tcPr>
          <w:p>
            <w:r>
              <w:rPr>
                <w:rFonts w:ascii="Calibri" w:hAnsi="Calibri"/>
                <w:color w:val="1A1A1A"/>
                <w:sz w:val="22"/>
              </w:rPr>
              <w:t>Lienzo</w:t>
            </w:r>
          </w:p>
        </w:tc>
        <w:tc>
          <w:tcPr>
            <w:tcW w:type="dxa" w:w="3216"/>
            <w:shd w:val="clear" w:color="auto" w:fill="FFFFFF"/>
          </w:tcPr>
          <w:p>
            <w:r>
              <w:rPr>
                <w:rFonts w:ascii="Calibri" w:hAnsi="Calibri"/>
                <w:color w:val="1A1A1A"/>
                <w:sz w:val="22"/>
              </w:rPr>
              <w:t>TEA</w:t>
            </w:r>
          </w:p>
        </w:tc>
        <w:tc>
          <w:tcPr>
            <w:tcW w:type="dxa" w:w="3216"/>
            <w:shd w:val="clear" w:color="auto" w:fill="FFFFFF"/>
          </w:tcPr>
          <w:p>
            <w:r>
              <w:rPr>
                <w:rFonts w:ascii="Calibri" w:hAnsi="Calibri"/>
                <w:color w:val="1A1A1A"/>
                <w:sz w:val="22"/>
              </w:rPr>
              <w:t>Entregar un organizador gráfico pre-diseñado que ya tenga divididas las secciones (introducción, desarrollo y cierre) para reducir la carga cognitiva. Permitir que exponga su dibujo solo al docente o a un compañero de confianza si hablar frente a todo el grupo le genera crisis.</w:t>
            </w:r>
          </w:p>
        </w:tc>
      </w:tr>
      <w:tr>
        <w:tc>
          <w:tcPr>
            <w:tcW w:type="dxa" w:w="3216"/>
            <w:shd w:val="clear" w:color="auto" w:fill="F4F6F9"/>
          </w:tcPr>
          <w:p>
            <w:r>
              <w:rPr>
                <w:rFonts w:ascii="Calibri" w:hAnsi="Calibri"/>
                <w:color w:val="1A1A1A"/>
                <w:sz w:val="22"/>
              </w:rPr>
              <w:t>General (Todas las misiones)</w:t>
            </w:r>
          </w:p>
        </w:tc>
        <w:tc>
          <w:tcPr>
            <w:tcW w:type="dxa" w:w="3216"/>
            <w:shd w:val="clear" w:color="auto" w:fill="F4F6F9"/>
          </w:tcPr>
          <w:p>
            <w:r>
              <w:rPr>
                <w:rFonts w:ascii="Calibri" w:hAnsi="Calibri"/>
                <w:color w:val="1A1A1A"/>
                <w:sz w:val="22"/>
              </w:rPr>
              <w:t>TDAH</w:t>
            </w:r>
          </w:p>
        </w:tc>
        <w:tc>
          <w:tcPr>
            <w:tcW w:type="dxa" w:w="3216"/>
            <w:shd w:val="clear" w:color="auto" w:fill="F4F6F9"/>
          </w:tcPr>
          <w:p>
            <w:r>
              <w:rPr>
                <w:rFonts w:ascii="Calibri" w:hAnsi="Calibri"/>
                <w:color w:val="1A1A1A"/>
                <w:sz w:val="22"/>
              </w:rPr>
              <w:t>Dividir el trabajo de la ficha en tres pasos cortos (Misiones 1-2, Misiones 3-4, Misión 5) utilizando un temporizador visual en la pizarra. Permitir al estudiante manipular un pequeño objeto antiestrés o trabajar de pie.</w:t>
            </w:r>
          </w:p>
        </w:tc>
      </w:tr>
      <w:tr>
        <w:tc>
          <w:tcPr>
            <w:tcW w:type="dxa" w:w="3216"/>
            <w:shd w:val="clear" w:color="auto" w:fill="FFFFFF"/>
          </w:tcPr>
          <w:p>
            <w:r>
              <w:rPr>
                <w:rFonts w:ascii="Calibri" w:hAnsi="Calibri"/>
                <w:color w:val="1A1A1A"/>
                <w:sz w:val="22"/>
              </w:rPr>
              <w:t>Pergamino y Puente</w:t>
            </w:r>
          </w:p>
        </w:tc>
        <w:tc>
          <w:tcPr>
            <w:tcW w:type="dxa" w:w="3216"/>
            <w:shd w:val="clear" w:color="auto" w:fill="FFFFFF"/>
          </w:tcPr>
          <w:p>
            <w:r>
              <w:rPr>
                <w:rFonts w:ascii="Calibri" w:hAnsi="Calibri"/>
                <w:color w:val="1A1A1A"/>
                <w:sz w:val="22"/>
              </w:rPr>
              <w:t>Dislexia</w:t>
            </w:r>
          </w:p>
        </w:tc>
        <w:tc>
          <w:tcPr>
            <w:tcW w:type="dxa" w:w="3216"/>
            <w:shd w:val="clear" w:color="auto" w:fill="FFFFFF"/>
          </w:tcPr>
          <w:p>
            <w:r>
              <w:rPr>
                <w:rFonts w:ascii="Calibri" w:hAnsi="Calibri"/>
                <w:color w:val="1A1A1A"/>
                <w:sz w:val="22"/>
              </w:rPr>
              <w:t>Fomentar el uso de fichas de apoyo donde las opciones y palabras clave tengan un ícono o dibujo representativo. Evitar que tenga que leer textos largos en voz alta durante la corrección de estas actividades.</w:t>
            </w:r>
          </w:p>
        </w:tc>
      </w:tr>
      <w:tr>
        <w:tc>
          <w:tcPr>
            <w:tcW w:type="dxa" w:w="3216"/>
            <w:shd w:val="clear" w:color="auto" w:fill="F4F6F9"/>
          </w:tcPr>
          <w:p>
            <w:r>
              <w:rPr>
                <w:rFonts w:ascii="Calibri" w:hAnsi="Calibri"/>
                <w:color w:val="1A1A1A"/>
                <w:sz w:val="22"/>
              </w:rPr>
              <w:t>Lienzo y Oráculo</w:t>
            </w:r>
          </w:p>
        </w:tc>
        <w:tc>
          <w:tcPr>
            <w:tcW w:type="dxa" w:w="3216"/>
            <w:shd w:val="clear" w:color="auto" w:fill="F4F6F9"/>
          </w:tcPr>
          <w:p>
            <w:r>
              <w:rPr>
                <w:rFonts w:ascii="Calibri" w:hAnsi="Calibri"/>
                <w:color w:val="1A1A1A"/>
                <w:sz w:val="22"/>
              </w:rPr>
              <w:t>Alta Capacidad</w:t>
            </w:r>
          </w:p>
        </w:tc>
        <w:tc>
          <w:tcPr>
            <w:tcW w:type="dxa" w:w="3216"/>
            <w:shd w:val="clear" w:color="auto" w:fill="F4F6F9"/>
          </w:tcPr>
          <w:p>
            <w:r>
              <w:rPr>
                <w:rFonts w:ascii="Calibri" w:hAnsi="Calibri"/>
                <w:color w:val="1A1A1A"/>
                <w:sz w:val="22"/>
              </w:rPr>
              <w:t>Desafiar al estudiante a incluir una pregunta retórica o interactiva en el diseño de su 'Lienzo' para enganchar a la audiencia de inmediato, o a incluir analogías más complejas en su material visual.</w:t>
            </w:r>
          </w:p>
        </w:tc>
      </w:tr>
    </w:tbl>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