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rHeight w:val="567" w:hRule="exact"/>
        </w:trPr>
        <w:tc>
          <w:tcPr>
            <w:tcW w:type="dxa" w:w="5184"/>
            <w:shd w:val="clear" w:color="auto" w:fill="1A3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32"/>
              </w:rPr>
              <w:t>Fichas de Trabajo</w:t>
            </w:r>
          </w:p>
        </w:tc>
        <w:tc>
          <w:tcPr>
            <w:tcW w:type="dxa" w:w="3456"/>
            <w:shd w:val="clear" w:color="auto" w:fill="1A3A6A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52338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aspalma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5233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  <w:shd w:val="clear" w:color="auto" w:fill="1A3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8"/>
              </w:rPr>
              <w:t>5to  PRIMARIA</w:t>
            </w:r>
          </w:p>
        </w:tc>
      </w:tr>
      <w:tr>
        <w:trPr>
          <w:trHeight w:val="311" w:hRule="exact"/>
        </w:trPr>
        <w:tc>
          <w:tcPr>
            <w:tcW w:type="dxa" w:w="9648"/>
            <w:gridSpan w:val="3"/>
            <w:shd w:val="clear" w:color="auto" w:fill="14306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PLAN DE CLASE · 45 MINUTOS</w:t>
            </w:r>
          </w:p>
        </w:tc>
      </w:tr>
    </w:tbl>
    <w:p/>
    <w:p>
      <w:pPr>
        <w:jc w:val="center"/>
        <w:pBdr>
          <w:bottom w:val="single" w:sz="24" w:space="6" w:color="1A3A6A"/>
        </w:pBdr>
      </w:pPr>
      <w:r>
        <w:rPr>
          <w:rFonts w:ascii="Impact" w:hAnsi="Impact"/>
          <w:b/>
          <w:color w:val="1A3A6A"/>
          <w:sz w:val="44"/>
        </w:rPr>
        <w:t>EXPONER UN TEMA</w:t>
      </w:r>
    </w:p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Verbos Operativos (Bloom)</w:t>
      </w:r>
    </w:p>
    <w:p>
      <w:pPr>
        <w:pStyle w:val="ListBullet"/>
      </w:pPr>
      <w:r>
        <w:rPr>
          <w:rFonts w:ascii="Calibri" w:hAnsi="Calibri"/>
          <w:color w:val="1B5E20"/>
          <w:sz w:val="22"/>
        </w:rPr>
        <w:t>Identificar</w:t>
      </w:r>
    </w:p>
    <w:p>
      <w:pPr>
        <w:pStyle w:val="ListBullet"/>
      </w:pPr>
      <w:r>
        <w:rPr>
          <w:rFonts w:ascii="Calibri" w:hAnsi="Calibri"/>
          <w:color w:val="1B5E20"/>
          <w:sz w:val="22"/>
        </w:rPr>
        <w:t>Estructurar</w:t>
      </w:r>
    </w:p>
    <w:p>
      <w:pPr>
        <w:pStyle w:val="ListBullet"/>
      </w:pPr>
      <w:r>
        <w:rPr>
          <w:rFonts w:ascii="Calibri" w:hAnsi="Calibri"/>
          <w:color w:val="1B5E20"/>
          <w:sz w:val="22"/>
        </w:rPr>
        <w:t>Expresar</w:t>
      </w:r>
    </w:p>
    <w:p>
      <w:pPr>
        <w:pStyle w:val="ListBullet"/>
      </w:pPr>
      <w:r>
        <w:rPr>
          <w:rFonts w:ascii="Calibri" w:hAnsi="Calibri"/>
          <w:color w:val="1B5E20"/>
          <w:sz w:val="22"/>
        </w:rPr>
        <w:t>Diseñar</w:t>
      </w:r>
    </w:p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Inteligencias Múltiples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A3A6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INTELIGENCIA</w:t>
            </w:r>
          </w:p>
        </w:tc>
        <w:tc>
          <w:tcPr>
            <w:tcW w:type="dxa" w:w="4824"/>
            <w:shd w:val="clear" w:color="auto" w:fill="1A3A6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ACTIVIDAD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Inteligencia Lingüística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Escribir un mini-guion con viñetas que separe claramente la introducción, el desarrollo y el cierre del tema.</w:t>
            </w:r>
          </w:p>
        </w:tc>
      </w:tr>
      <w:tr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Inteligencia Corporal-Kinestésica</w:t>
            </w:r>
          </w:p>
        </w:tc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Realizar un juego de roles practicando la postura recta, los gestos con las manos y el contacto visual constante.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Inteligencia Interpersonal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Practicar la exposición en parejas, brindándose retroalimentación mutua sobre el tono y el volumen de voz de manera constructiva.</w:t>
            </w:r>
          </w:p>
        </w:tc>
      </w:tr>
      <w:tr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Inteligencia Visual-Espacial</w:t>
            </w:r>
          </w:p>
        </w:tc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Crear un boceto rápido o mapa mental que sirva como material de apoyo visual para la exposición.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trHeight w:val="272" w:hRule="exact"/>
        </w:trPr>
        <w:tc>
          <w:tcPr>
            <w:tcW w:type="dxa" w:w="9648"/>
            <w:shd w:val="clear" w:color="auto" w:fill="1A3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Secuencia Didáctica</w:t>
            </w:r>
          </w:p>
        </w:tc>
      </w:tr>
    </w:tbl>
    <w:p/>
    <w:p>
      <w:pPr>
        <w:pStyle w:val="Heading3"/>
        <w:spacing w:before="160" w:after="80"/>
      </w:pPr>
      <w:r>
        <w:rPr>
          <w:rFonts w:ascii="Calibri" w:hAnsi="Calibri"/>
          <w:color w:val="1B5E20"/>
          <w:sz w:val="24"/>
        </w:rPr>
        <w:t>Inicio — 10 min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Despertar el interés mostrando la diferencia entre una buena y una mala presentación, e introducir los conceptos de la p. 18.</w:t>
      </w:r>
    </w:p>
    <w:p>
      <w:pPr>
        <w:spacing w:after="80"/>
      </w:pPr>
      <w:r>
        <w:rPr>
          <w:rFonts w:ascii="Calibri" w:hAnsi="Calibri"/>
          <w:b w:val="0"/>
          <w:i/>
          <w:color w:val="007A6E"/>
          <w:sz w:val="20"/>
        </w:rPr>
        <w:t>💡 Actuar brevemente una exposición con bajo volumen y sin contacto visual, y luego una correcta, para que los estudiantes descubran las diferencias por sí mismos.</w:t>
      </w:r>
    </w:p>
    <w:p/>
    <w:p>
      <w:pPr>
        <w:pStyle w:val="Heading3"/>
        <w:spacing w:before="160" w:after="80"/>
      </w:pPr>
      <w:r>
        <w:rPr>
          <w:rFonts w:ascii="Calibri" w:hAnsi="Calibri"/>
          <w:color w:val="1B5E20"/>
          <w:sz w:val="24"/>
        </w:rPr>
        <w:t>Desarrollo — 25 min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Aplicar la estructura de la exposición (intro, desarrollo, cierre) y practicar las habilidades de voz y expresión corporal en pequeños grupos.</w:t>
      </w:r>
    </w:p>
    <w:p>
      <w:pPr>
        <w:spacing w:after="80"/>
      </w:pPr>
      <w:r>
        <w:rPr>
          <w:rFonts w:ascii="Calibri" w:hAnsi="Calibri"/>
          <w:b w:val="0"/>
          <w:i/>
          <w:color w:val="007A6E"/>
          <w:sz w:val="20"/>
        </w:rPr>
        <w:t>💡 Utilizar un temporizador visual en la pizarra. Rotar por los grupos para modelar el tono de voz y corregir posturas de forma empática.</w:t>
      </w:r>
    </w:p>
    <w:p/>
    <w:p>
      <w:pPr>
        <w:pStyle w:val="Heading3"/>
        <w:spacing w:before="160" w:after="80"/>
      </w:pPr>
      <w:r>
        <w:rPr>
          <w:rFonts w:ascii="Calibri" w:hAnsi="Calibri"/>
          <w:color w:val="1B5E20"/>
          <w:sz w:val="24"/>
        </w:rPr>
        <w:t>Cierre — 10 min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Compartir voluntariamente los apoyos visuales creados y reflexionar sobre la importancia de la expresión corporal para comunicar ideas.</w:t>
      </w:r>
    </w:p>
    <w:p>
      <w:pPr>
        <w:spacing w:after="80"/>
      </w:pPr>
      <w:r>
        <w:rPr>
          <w:rFonts w:ascii="Calibri" w:hAnsi="Calibri"/>
          <w:b w:val="0"/>
          <w:i/>
          <w:color w:val="007A6E"/>
          <w:sz w:val="20"/>
        </w:rPr>
        <w:t>💡 Crear un ambiente de aplausos y validación para reducir la ansiedad escénica.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trHeight w:val="272" w:hRule="exact"/>
        </w:trPr>
        <w:tc>
          <w:tcPr>
            <w:tcW w:type="dxa" w:w="9648"/>
            <w:shd w:val="clear" w:color="auto" w:fill="007A6E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Directrices DUA — Neuro-Inclusión</w:t>
            </w:r>
          </w:p>
        </w:tc>
      </w:tr>
    </w:tbl>
    <w:p/>
    <w:p>
      <w:pPr>
        <w:pStyle w:val="ListBullet"/>
      </w:pPr>
      <w:r>
        <w:rPr>
          <w:rFonts w:ascii="Calibri" w:hAnsi="Calibri"/>
          <w:color w:val="1A1A1A"/>
          <w:sz w:val="22"/>
        </w:rPr>
        <w:t>Proporcionar múltiples medios de representación: usar ejemplos visuales, auditivos y de actuación para explicar qué es una buena exposición.</w:t>
      </w:r>
    </w:p>
    <w:p>
      <w:pPr>
        <w:pStyle w:val="ListBullet"/>
      </w:pPr>
      <w:r>
        <w:rPr>
          <w:rFonts w:ascii="Calibri" w:hAnsi="Calibri"/>
          <w:color w:val="1A1A1A"/>
          <w:sz w:val="22"/>
        </w:rPr>
        <w:t>Ofrecer formas flexibles de participación: permitir exponer desde el asiento, en parejas o utilizando una grabación de voz para quienes sienten ansiedad social.</w:t>
      </w:r>
    </w:p>
    <w:p>
      <w:pPr>
        <w:pStyle w:val="ListBullet"/>
      </w:pPr>
      <w:r>
        <w:rPr>
          <w:rFonts w:ascii="Calibri" w:hAnsi="Calibri"/>
          <w:color w:val="1A1A1A"/>
          <w:sz w:val="22"/>
        </w:rPr>
        <w:t>Proporcionar organizadores gráficos pre-diseñados para facilitar la estructuración (introducción, desarrollo, cierre) reduciendo la carga cognitiva.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rPr>
          <w:trHeight w:val="272" w:hRule="exact"/>
        </w:trPr>
        <w:tc>
          <w:tcPr>
            <w:tcW w:type="dxa" w:w="9648"/>
            <w:shd w:val="clear" w:color="auto" w:fill="1A5276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Adaptaciones por Diagnóstico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A3A6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DIAGNOSTICO</w:t>
            </w:r>
          </w:p>
        </w:tc>
        <w:tc>
          <w:tcPr>
            <w:tcW w:type="dxa" w:w="4824"/>
            <w:shd w:val="clear" w:color="auto" w:fill="1A3A6A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ADAPTACION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TEA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Anticipar la rutina de la clase. Asignar un rol específico en el grupo (ej. diseñador del apoyo visual). Permitir que exponga solo al docente o a un compañero de confianza si hablar frente al grupo genera crisis.</w:t>
            </w:r>
          </w:p>
        </w:tc>
      </w:tr>
      <w:tr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TDAH</w:t>
            </w:r>
          </w:p>
        </w:tc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Dividir la preparación de la exposición en tres pasos cortos con tiempos definidos. Permitir manipular un objeto antiestrés pequeño o estar de pie durante la planificación.</w:t>
            </w:r>
          </w:p>
        </w:tc>
      </w:tr>
      <w:tr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Dislexia</w:t>
            </w:r>
          </w:p>
        </w:tc>
        <w:tc>
          <w:tcPr>
            <w:tcW w:type="dxa" w:w="4824"/>
            <w:shd w:val="clear" w:color="auto" w:fill="FFFFFF"/>
          </w:tcPr>
          <w:p>
            <w:r>
              <w:rPr>
                <w:rFonts w:ascii="Calibri" w:hAnsi="Calibri"/>
                <w:color w:val="1A1A1A"/>
                <w:sz w:val="22"/>
              </w:rPr>
              <w:t>Evitar que lea un texto largo durante su exposición. Fomentar el uso de fichas de apoyo con dibujos, palabras clave o iconos en lugar de oraciones completas.</w:t>
            </w:r>
          </w:p>
        </w:tc>
      </w:tr>
      <w:tr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Alta Capacidad</w:t>
            </w:r>
          </w:p>
        </w:tc>
        <w:tc>
          <w:tcPr>
            <w:tcW w:type="dxa" w:w="4824"/>
            <w:shd w:val="clear" w:color="auto" w:fill="F4F6F9"/>
          </w:tcPr>
          <w:p>
            <w:r>
              <w:rPr>
                <w:rFonts w:ascii="Calibri" w:hAnsi="Calibri"/>
                <w:color w:val="1A1A1A"/>
                <w:sz w:val="22"/>
              </w:rPr>
              <w:t>Desafiar al estudiante a incluir una pregunta retórica o interactiva en su introducción para enganchar a la audiencia, o a diseñar un material de apoyo visual con analogías complejas.</w:t>
            </w:r>
          </w:p>
        </w:tc>
      </w:tr>
    </w:tbl>
    <w:p/>
    <w:p>
      <w:pPr>
        <w:pStyle w:val="Heading2"/>
        <w:spacing w:before="160" w:after="80"/>
      </w:pPr>
      <w:r>
        <w:rPr>
          <w:rFonts w:ascii="Calibri" w:hAnsi="Calibri"/>
          <w:color w:val="1A3A6A"/>
          <w:sz w:val="28"/>
        </w:rPr>
        <w:t>Perfil del Aula</w:t>
      </w:r>
    </w:p>
    <w:p>
      <w:pPr>
        <w:spacing w:after="80"/>
      </w:pPr>
      <w:r>
        <w:rPr>
          <w:rFonts w:ascii="Calibri" w:hAnsi="Calibri"/>
          <w:b w:val="0"/>
          <w:i w:val="0"/>
          <w:color w:val="1A1A1A"/>
          <w:sz w:val="22"/>
        </w:rPr>
        <w:t>Grupo de 5to de primaria dinámico y con necesidades diversas. La presencia de TEA, TDAH, Dislexia y Alta Capacidad exige un enfoque DUA centrado en el aprendizaje multisensorial y la flexibilidad. Para el tema de la exposición, es fundamental reducir la ansiedad escénica, evaluar la comunicación oral y corporal por encima de la lectoescritura, y ofrecer opciones de participación escalonadas (desde el asiento hasta el frente) manteniendo a todos motivados.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